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C" w:rsidRDefault="00507A1C" w:rsidP="00507A1C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507A1C" w:rsidRDefault="00507A1C" w:rsidP="00507A1C">
      <w:pPr>
        <w:pStyle w:val="ReportTitle"/>
      </w:pPr>
      <w:r>
        <w:t>Medical Report - A Systemic Arthritic Disease</w:t>
      </w:r>
    </w:p>
    <w:p w:rsidR="00507A1C" w:rsidRDefault="00507A1C" w:rsidP="00507A1C">
      <w:pPr>
        <w:pStyle w:val="ReportTitle"/>
      </w:pPr>
      <w:bookmarkStart w:id="1" w:name="Condition"/>
      <w:bookmarkStart w:id="2" w:name="QuestionnaireCondition"/>
      <w:bookmarkEnd w:id="1"/>
      <w:r>
        <w:t>Plantar Fasciitis</w:t>
      </w:r>
      <w:bookmarkEnd w:id="2"/>
    </w:p>
    <w:p w:rsidR="00507A1C" w:rsidRDefault="00507A1C" w:rsidP="00507A1C">
      <w:pPr>
        <w:pStyle w:val="ReportPrivacy"/>
      </w:pPr>
      <w:bookmarkStart w:id="3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507A1C" w:rsidRDefault="00507A1C" w:rsidP="00507A1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4A0" w:firstRow="1" w:lastRow="0" w:firstColumn="1" w:lastColumn="0" w:noHBand="0" w:noVBand="1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507A1C" w:rsidTr="00507A1C">
        <w:trPr>
          <w:gridAfter w:val="1"/>
          <w:wAfter w:w="15" w:type="dxa"/>
          <w:cantSplit/>
        </w:trPr>
        <w:tc>
          <w:tcPr>
            <w:tcW w:w="3040" w:type="dxa"/>
            <w:hideMark/>
          </w:tcPr>
          <w:p w:rsidR="00507A1C" w:rsidRDefault="00507A1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</w:tcPr>
          <w:p w:rsidR="00507A1C" w:rsidRDefault="00507A1C">
            <w:pPr>
              <w:rPr>
                <w:b/>
              </w:rPr>
            </w:pPr>
          </w:p>
        </w:tc>
        <w:tc>
          <w:tcPr>
            <w:tcW w:w="3557" w:type="dxa"/>
            <w:gridSpan w:val="2"/>
            <w:hideMark/>
          </w:tcPr>
          <w:p w:rsidR="00507A1C" w:rsidRDefault="00507A1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</w:tcPr>
          <w:p w:rsidR="00507A1C" w:rsidRDefault="00507A1C">
            <w:pPr>
              <w:rPr>
                <w:b/>
              </w:rPr>
            </w:pPr>
          </w:p>
        </w:tc>
        <w:tc>
          <w:tcPr>
            <w:tcW w:w="2836" w:type="dxa"/>
            <w:gridSpan w:val="2"/>
            <w:hideMark/>
          </w:tcPr>
          <w:p w:rsidR="00507A1C" w:rsidRDefault="00507A1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507A1C" w:rsidTr="00507A1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7A1C" w:rsidRDefault="00507A1C">
            <w:pPr>
              <w:pStyle w:val="ReportVeteran"/>
            </w:pPr>
          </w:p>
        </w:tc>
        <w:tc>
          <w:tcPr>
            <w:tcW w:w="284" w:type="dxa"/>
            <w:gridSpan w:val="2"/>
          </w:tcPr>
          <w:p w:rsidR="00507A1C" w:rsidRDefault="00507A1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7A1C" w:rsidRDefault="00507A1C">
            <w:pPr>
              <w:pStyle w:val="ReportVeteran"/>
            </w:pPr>
          </w:p>
        </w:tc>
        <w:tc>
          <w:tcPr>
            <w:tcW w:w="284" w:type="dxa"/>
            <w:gridSpan w:val="2"/>
          </w:tcPr>
          <w:p w:rsidR="00507A1C" w:rsidRDefault="00507A1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7A1C" w:rsidRDefault="00507A1C">
            <w:pPr>
              <w:pStyle w:val="ReportVeteran"/>
            </w:pPr>
          </w:p>
        </w:tc>
      </w:tr>
    </w:tbl>
    <w:p w:rsidR="00507A1C" w:rsidRDefault="00507A1C" w:rsidP="00507A1C">
      <w:pPr>
        <w:pStyle w:val="ReportSection"/>
      </w:pPr>
      <w:r>
        <w:t>Report Detail</w:t>
      </w:r>
    </w:p>
    <w:p w:rsidR="00507A1C" w:rsidRDefault="00507A1C" w:rsidP="00507A1C">
      <w:pPr>
        <w:spacing w:after="120"/>
        <w:rPr>
          <w:i/>
        </w:rPr>
      </w:pPr>
      <w:bookmarkStart w:id="4" w:name="ReportBody"/>
      <w:bookmarkEnd w:id="4"/>
      <w:r>
        <w:t>A claim for service related compensation in respect of the above</w:t>
      </w:r>
      <w:r>
        <w:t xml:space="preserve"> </w:t>
      </w:r>
      <w:bookmarkStart w:id="5" w:name="_GoBack"/>
      <w:bookmarkEnd w:id="5"/>
      <w:r>
        <w:t xml:space="preserve">named leads the Department to consider whether a systemic arthritic disease could be relevant to the development of plantar fasciitis in this case.  </w:t>
      </w:r>
      <w:r>
        <w:rPr>
          <w:b/>
        </w:rPr>
        <w:t xml:space="preserve">Note:  </w:t>
      </w:r>
      <w:r>
        <w:t xml:space="preserve">The Repatriation Medical Authority (RMA) has defined </w:t>
      </w:r>
      <w:r>
        <w:rPr>
          <w:b/>
        </w:rPr>
        <w:t>a</w:t>
      </w:r>
      <w:r>
        <w:t xml:space="preserve"> </w:t>
      </w:r>
      <w:r>
        <w:rPr>
          <w:b/>
        </w:rPr>
        <w:t xml:space="preserve">systemic arthritic disease </w:t>
      </w:r>
      <w:r>
        <w:t>to mean:</w:t>
      </w:r>
    </w:p>
    <w:p w:rsidR="00507A1C" w:rsidRDefault="00507A1C" w:rsidP="00507A1C">
      <w:pPr>
        <w:ind w:left="709" w:hanging="352"/>
        <w:rPr>
          <w:i/>
        </w:rPr>
      </w:pPr>
      <w:r>
        <w:rPr>
          <w:i/>
        </w:rPr>
        <w:t>(a)</w:t>
      </w:r>
      <w:r>
        <w:rPr>
          <w:i/>
        </w:rPr>
        <w:tab/>
        <w:t>ankylosing spondylitis;  or</w:t>
      </w:r>
    </w:p>
    <w:p w:rsidR="00507A1C" w:rsidRDefault="00507A1C" w:rsidP="00507A1C">
      <w:pPr>
        <w:ind w:left="709" w:hanging="349"/>
        <w:rPr>
          <w:i/>
        </w:rPr>
      </w:pPr>
      <w:r>
        <w:rPr>
          <w:i/>
        </w:rPr>
        <w:t>(b)</w:t>
      </w:r>
      <w:r>
        <w:rPr>
          <w:i/>
        </w:rPr>
        <w:tab/>
        <w:t xml:space="preserve">crystal-induced </w:t>
      </w:r>
      <w:proofErr w:type="spellStart"/>
      <w:r>
        <w:rPr>
          <w:i/>
        </w:rPr>
        <w:t>arthropathy</w:t>
      </w:r>
      <w:proofErr w:type="spellEnd"/>
      <w:r>
        <w:rPr>
          <w:i/>
        </w:rPr>
        <w:t>; or</w:t>
      </w:r>
    </w:p>
    <w:p w:rsidR="00507A1C" w:rsidRDefault="00507A1C" w:rsidP="00507A1C">
      <w:pPr>
        <w:ind w:left="709" w:hanging="349"/>
        <w:rPr>
          <w:i/>
        </w:rPr>
      </w:pPr>
      <w:r>
        <w:rPr>
          <w:i/>
        </w:rPr>
        <w:t>(c)</w:t>
      </w:r>
      <w:r>
        <w:rPr>
          <w:i/>
        </w:rPr>
        <w:tab/>
      </w:r>
      <w:proofErr w:type="spellStart"/>
      <w:r>
        <w:rPr>
          <w:i/>
        </w:rPr>
        <w:t>enteropathic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spondyloarthropathy</w:t>
      </w:r>
      <w:proofErr w:type="spellEnd"/>
      <w:r>
        <w:rPr>
          <w:i/>
        </w:rPr>
        <w:t>;  or</w:t>
      </w:r>
    </w:p>
    <w:p w:rsidR="00507A1C" w:rsidRDefault="00507A1C" w:rsidP="00507A1C">
      <w:pPr>
        <w:ind w:left="709" w:hanging="349"/>
        <w:rPr>
          <w:i/>
        </w:rPr>
      </w:pPr>
      <w:r>
        <w:rPr>
          <w:i/>
        </w:rPr>
        <w:t>(d)</w:t>
      </w:r>
      <w:r>
        <w:rPr>
          <w:i/>
        </w:rPr>
        <w:tab/>
        <w:t xml:space="preserve">psoriatic </w:t>
      </w:r>
      <w:proofErr w:type="spellStart"/>
      <w:r>
        <w:rPr>
          <w:i/>
        </w:rPr>
        <w:t>arthropathy</w:t>
      </w:r>
      <w:proofErr w:type="spellEnd"/>
      <w:r>
        <w:rPr>
          <w:i/>
        </w:rPr>
        <w:t>;</w:t>
      </w:r>
    </w:p>
    <w:p w:rsidR="00507A1C" w:rsidRDefault="00507A1C" w:rsidP="00507A1C">
      <w:pPr>
        <w:pStyle w:val="BodyTextIndent"/>
        <w:rPr>
          <w:i/>
        </w:rPr>
      </w:pPr>
      <w:r>
        <w:rPr>
          <w:i/>
        </w:rPr>
        <w:t>(e)</w:t>
      </w:r>
      <w:r>
        <w:rPr>
          <w:i/>
        </w:rPr>
        <w:tab/>
        <w:t xml:space="preserve">reactive </w:t>
      </w:r>
      <w:proofErr w:type="spellStart"/>
      <w:r>
        <w:rPr>
          <w:i/>
        </w:rPr>
        <w:t>arthropathy</w:t>
      </w:r>
      <w:proofErr w:type="spellEnd"/>
      <w:r>
        <w:rPr>
          <w:i/>
        </w:rPr>
        <w:t>;  or</w:t>
      </w:r>
    </w:p>
    <w:p w:rsidR="00507A1C" w:rsidRDefault="00507A1C" w:rsidP="00507A1C">
      <w:pPr>
        <w:pStyle w:val="BodyTextIndent"/>
        <w:rPr>
          <w:i/>
        </w:rPr>
      </w:pPr>
      <w:r>
        <w:rPr>
          <w:i/>
        </w:rPr>
        <w:t>(f)</w:t>
      </w:r>
      <w:r>
        <w:rPr>
          <w:i/>
        </w:rPr>
        <w:tab/>
        <w:t xml:space="preserve">undifferentiated </w:t>
      </w:r>
      <w:proofErr w:type="spellStart"/>
      <w:r>
        <w:rPr>
          <w:i/>
        </w:rPr>
        <w:t>spondyloarthropathy</w:t>
      </w:r>
      <w:proofErr w:type="spellEnd"/>
    </w:p>
    <w:p w:rsidR="00507A1C" w:rsidRDefault="00507A1C" w:rsidP="00507A1C">
      <w:pPr>
        <w:numPr>
          <w:ilvl w:val="0"/>
          <w:numId w:val="1"/>
        </w:numPr>
        <w:spacing w:before="240"/>
      </w:pPr>
      <w:r>
        <w:t>When was the clinical onset of plantar fasciitis?</w:t>
      </w:r>
    </w:p>
    <w:p w:rsidR="00507A1C" w:rsidRDefault="00507A1C" w:rsidP="00507A1C">
      <w:pPr>
        <w:numPr>
          <w:ilvl w:val="0"/>
          <w:numId w:val="2"/>
        </w:numPr>
        <w:spacing w:before="120"/>
        <w:ind w:left="1440" w:hanging="720"/>
      </w:pPr>
      <w:r>
        <w:t>Left foot       ……/……/……</w:t>
      </w:r>
    </w:p>
    <w:p w:rsidR="00507A1C" w:rsidRDefault="00507A1C" w:rsidP="00507A1C">
      <w:pPr>
        <w:numPr>
          <w:ilvl w:val="0"/>
          <w:numId w:val="2"/>
        </w:numPr>
        <w:ind w:left="1440" w:hanging="720"/>
      </w:pPr>
      <w:r>
        <w:t>Right foot    ……/……/……</w:t>
      </w:r>
    </w:p>
    <w:p w:rsidR="00507A1C" w:rsidRDefault="00507A1C" w:rsidP="00507A1C">
      <w:pPr>
        <w:numPr>
          <w:ilvl w:val="0"/>
          <w:numId w:val="1"/>
        </w:numPr>
        <w:spacing w:before="240"/>
        <w:rPr>
          <w:i/>
        </w:rPr>
      </w:pPr>
      <w:r>
        <w:t xml:space="preserve">Has the veteran ever suffered from </w:t>
      </w:r>
      <w:r>
        <w:rPr>
          <w:b/>
        </w:rPr>
        <w:t>a</w:t>
      </w:r>
      <w:r>
        <w:t xml:space="preserve"> </w:t>
      </w:r>
      <w:r>
        <w:rPr>
          <w:b/>
        </w:rPr>
        <w:t xml:space="preserve">systemic arthritic disease </w:t>
      </w:r>
      <w:r>
        <w:t>as defined by the RMA?</w:t>
      </w:r>
    </w:p>
    <w:p w:rsidR="00507A1C" w:rsidRDefault="00507A1C" w:rsidP="00507A1C">
      <w:pPr>
        <w:pStyle w:val="ReportCheckbox"/>
        <w:spacing w:before="120"/>
        <w:ind w:left="1440" w:hanging="72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– </w:t>
      </w:r>
      <w:r>
        <w:rPr>
          <w:i/>
        </w:rPr>
        <w:t>Please sign the form and return it to the Department</w:t>
      </w:r>
    </w:p>
    <w:p w:rsidR="00507A1C" w:rsidRDefault="00507A1C" w:rsidP="00507A1C">
      <w:pPr>
        <w:pStyle w:val="ReportCheckbox"/>
        <w:spacing w:after="240"/>
        <w:ind w:left="1440" w:hanging="72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– </w:t>
      </w:r>
      <w:r>
        <w:t>Please provide details below: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134"/>
        <w:gridCol w:w="1418"/>
        <w:gridCol w:w="2977"/>
        <w:gridCol w:w="1948"/>
      </w:tblGrid>
      <w:tr w:rsidR="00507A1C" w:rsidTr="00507A1C">
        <w:trPr>
          <w:jc w:val="center"/>
        </w:trPr>
        <w:tc>
          <w:tcPr>
            <w:tcW w:w="2086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07A1C" w:rsidRDefault="00507A1C">
            <w:pPr>
              <w:jc w:val="center"/>
              <w:rPr>
                <w:b/>
              </w:rPr>
            </w:pPr>
            <w:r>
              <w:rPr>
                <w:b/>
              </w:rPr>
              <w:t xml:space="preserve">Systemic arthritic disease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07A1C" w:rsidRDefault="00507A1C">
            <w:pPr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07A1C" w:rsidRDefault="00507A1C">
            <w:pPr>
              <w:jc w:val="center"/>
              <w:rPr>
                <w:b/>
              </w:rPr>
            </w:pPr>
            <w:r>
              <w:rPr>
                <w:b/>
              </w:rPr>
              <w:t>Diagnosed condition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07A1C" w:rsidRDefault="00507A1C">
            <w:pPr>
              <w:jc w:val="center"/>
              <w:rPr>
                <w:b/>
              </w:rPr>
            </w:pPr>
            <w:r>
              <w:rPr>
                <w:b/>
              </w:rPr>
              <w:t>Treatment and date of remission (if appropriate)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07A1C" w:rsidRDefault="00507A1C">
            <w:pPr>
              <w:jc w:val="center"/>
              <w:rPr>
                <w:b/>
              </w:rPr>
            </w:pPr>
            <w:r>
              <w:rPr>
                <w:b/>
              </w:rPr>
              <w:t>Underlying cause (opinion)</w:t>
            </w:r>
          </w:p>
        </w:tc>
      </w:tr>
      <w:tr w:rsidR="00507A1C" w:rsidTr="00507A1C">
        <w:trPr>
          <w:trHeight w:val="1418"/>
          <w:jc w:val="center"/>
        </w:trPr>
        <w:tc>
          <w:tcPr>
            <w:tcW w:w="2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7A1C" w:rsidRDefault="00507A1C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7A1C" w:rsidRDefault="00507A1C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7A1C" w:rsidRDefault="00507A1C"/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7A1C" w:rsidRDefault="00507A1C"/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7A1C" w:rsidRDefault="00507A1C"/>
        </w:tc>
      </w:tr>
    </w:tbl>
    <w:p w:rsidR="00507A1C" w:rsidRDefault="00507A1C" w:rsidP="00507A1C">
      <w:pPr>
        <w:rPr>
          <w:vanish/>
          <w:color w:val="FF0000"/>
          <w:sz w:val="16"/>
        </w:rPr>
      </w:pPr>
      <w:r>
        <w:rPr>
          <w:vanish/>
          <w:color w:val="FF0000"/>
          <w:sz w:val="16"/>
        </w:rPr>
        <w:br w:type="page"/>
      </w:r>
      <w:r>
        <w:rPr>
          <w:vanish/>
          <w:color w:val="FF0000"/>
          <w:sz w:val="16"/>
        </w:rPr>
        <w:lastRenderedPageBreak/>
        <w:t>{If worsening}</w:t>
      </w:r>
    </w:p>
    <w:p w:rsidR="00507A1C" w:rsidRDefault="00507A1C" w:rsidP="00507A1C">
      <w:pPr>
        <w:pStyle w:val="ReportQuestion"/>
        <w:spacing w:after="240"/>
        <w:ind w:left="720" w:hanging="720"/>
      </w:pPr>
      <w:r>
        <w:t>3.</w:t>
      </w:r>
      <w:r>
        <w:tab/>
        <w:t xml:space="preserve">Did the plantar fasciitis clinically worsen?  </w:t>
      </w:r>
      <w:r>
        <w:rPr>
          <w:b/>
        </w:rPr>
        <w:t xml:space="preserve">Note:  </w:t>
      </w:r>
      <w:r>
        <w:t>Clinical worsening requires an increase in the gravity of the disease beyond its natural progression.</w:t>
      </w:r>
    </w:p>
    <w:p w:rsidR="00507A1C" w:rsidRDefault="00507A1C" w:rsidP="00507A1C">
      <w:pPr>
        <w:pStyle w:val="ReportCheckbox"/>
        <w:ind w:left="1440" w:hanging="72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  <w:r>
        <w:t xml:space="preserve">- </w:t>
      </w:r>
      <w:r>
        <w:rPr>
          <w:i/>
        </w:rPr>
        <w:t>Please sign the form and return it to the Department</w:t>
      </w:r>
    </w:p>
    <w:p w:rsidR="00507A1C" w:rsidRDefault="00507A1C" w:rsidP="00507A1C">
      <w:pPr>
        <w:pStyle w:val="ReportCheckbox"/>
        <w:spacing w:after="240"/>
        <w:ind w:left="1440" w:hanging="72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>– Please provide details, including date of worsening.</w:t>
      </w:r>
    </w:p>
    <w:p w:rsidR="00507A1C" w:rsidRDefault="00507A1C" w:rsidP="00507A1C">
      <w:pPr>
        <w:ind w:left="1710" w:hanging="684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t>Left foot       ……/……/……</w:t>
      </w:r>
    </w:p>
    <w:p w:rsidR="00507A1C" w:rsidRDefault="00507A1C" w:rsidP="00507A1C">
      <w:pPr>
        <w:ind w:left="1710" w:hanging="684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t>Right foot    ……/……/……</w:t>
      </w:r>
    </w:p>
    <w:p w:rsidR="00507A1C" w:rsidRDefault="00507A1C" w:rsidP="00507A1C">
      <w:pPr>
        <w:rPr>
          <w:vanish/>
          <w:color w:val="FF0000"/>
          <w:sz w:val="16"/>
        </w:rPr>
      </w:pPr>
      <w:r>
        <w:rPr>
          <w:vanish/>
          <w:color w:val="FF0000"/>
          <w:sz w:val="16"/>
        </w:rPr>
        <w:t>{</w:t>
      </w:r>
      <w:proofErr w:type="spellStart"/>
      <w:r>
        <w:rPr>
          <w:vanish/>
          <w:color w:val="FF0000"/>
          <w:sz w:val="16"/>
        </w:rPr>
        <w:t>EndIf</w:t>
      </w:r>
      <w:proofErr w:type="spellEnd"/>
      <w:r>
        <w:rPr>
          <w:vanish/>
          <w:color w:val="FF0000"/>
          <w:sz w:val="16"/>
        </w:rPr>
        <w:t xml:space="preserve"> worsening}</w:t>
      </w:r>
    </w:p>
    <w:p w:rsidR="00507A1C" w:rsidRDefault="00507A1C" w:rsidP="00507A1C">
      <w:pPr>
        <w:rPr>
          <w:sz w:val="16"/>
        </w:rPr>
      </w:pPr>
    </w:p>
    <w:p w:rsidR="00507A1C" w:rsidRDefault="00507A1C" w:rsidP="00507A1C"/>
    <w:p w:rsidR="00507A1C" w:rsidRDefault="00507A1C" w:rsidP="00507A1C">
      <w:pPr>
        <w:pStyle w:val="ReportSection"/>
        <w:framePr w:hSpace="181" w:wrap="notBeside" w:vAnchor="page" w:hAnchor="page" w:x="990" w:y="13306"/>
      </w:pPr>
      <w:bookmarkStart w:id="6" w:name="SignatureBlock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854"/>
        <w:gridCol w:w="270"/>
        <w:gridCol w:w="4833"/>
      </w:tblGrid>
      <w:tr w:rsidR="00507A1C" w:rsidTr="00507A1C">
        <w:trPr>
          <w:cantSplit/>
        </w:trPr>
        <w:tc>
          <w:tcPr>
            <w:tcW w:w="4854" w:type="dxa"/>
            <w:hideMark/>
          </w:tcPr>
          <w:p w:rsidR="00507A1C" w:rsidRDefault="00507A1C">
            <w:pPr>
              <w:framePr w:hSpace="181" w:wrap="notBeside" w:vAnchor="page" w:hAnchor="page" w:x="990" w:y="13306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</w:tr>
      <w:tr w:rsidR="00507A1C" w:rsidTr="00507A1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</w:tr>
      <w:tr w:rsidR="00507A1C" w:rsidTr="00507A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hideMark/>
          </w:tcPr>
          <w:p w:rsidR="00507A1C" w:rsidRDefault="00507A1C">
            <w:pPr>
              <w:framePr w:hSpace="181" w:wrap="notBeside" w:vAnchor="page" w:hAnchor="page" w:x="990" w:y="13306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07A1C" w:rsidTr="00507A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</w:tr>
      <w:tr w:rsidR="00507A1C" w:rsidTr="00507A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</w:tr>
      <w:tr w:rsidR="00507A1C" w:rsidTr="00507A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</w:tcPr>
          <w:p w:rsidR="00507A1C" w:rsidRDefault="00507A1C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7A1C" w:rsidRDefault="00507A1C">
            <w:pPr>
              <w:framePr w:hSpace="181" w:wrap="notBeside" w:vAnchor="page" w:hAnchor="page" w:x="990" w:y="13306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507A1C" w:rsidRDefault="00507A1C" w:rsidP="00507A1C"/>
    <w:p w:rsidR="005E226C" w:rsidRDefault="005E226C"/>
    <w:sectPr w:rsidR="005E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28B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951D11"/>
    <w:multiLevelType w:val="singleLevel"/>
    <w:tmpl w:val="9F400208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C"/>
    <w:rsid w:val="00507A1C"/>
    <w:rsid w:val="005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07A1C"/>
    <w:pPr>
      <w:ind w:left="709" w:hanging="349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7A1C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ReportSection">
    <w:name w:val="Report Section"/>
    <w:basedOn w:val="Normal"/>
    <w:next w:val="Normal"/>
    <w:rsid w:val="00507A1C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Privacy">
    <w:name w:val="Report Privacy"/>
    <w:basedOn w:val="Normal"/>
    <w:next w:val="ReportSection"/>
    <w:rsid w:val="00507A1C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Title">
    <w:name w:val="Report Title"/>
    <w:basedOn w:val="Normal"/>
    <w:rsid w:val="00507A1C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rsid w:val="00507A1C"/>
    <w:pPr>
      <w:spacing w:before="100" w:after="100"/>
    </w:pPr>
    <w:rPr>
      <w:rFonts w:ascii="Arial" w:hAnsi="Arial"/>
      <w:b/>
    </w:rPr>
  </w:style>
  <w:style w:type="paragraph" w:customStyle="1" w:styleId="ReportQuestion">
    <w:name w:val="Report Question"/>
    <w:basedOn w:val="Normal"/>
    <w:next w:val="Normal"/>
    <w:rsid w:val="00507A1C"/>
    <w:pPr>
      <w:spacing w:before="240" w:after="120"/>
      <w:ind w:left="567" w:hanging="567"/>
    </w:pPr>
  </w:style>
  <w:style w:type="paragraph" w:customStyle="1" w:styleId="ReportCheckbox">
    <w:name w:val="Report Checkbox"/>
    <w:basedOn w:val="Normal"/>
    <w:next w:val="Normal"/>
    <w:rsid w:val="00507A1C"/>
    <w:pPr>
      <w:ind w:left="11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07A1C"/>
    <w:pPr>
      <w:ind w:left="709" w:hanging="349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7A1C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ReportSection">
    <w:name w:val="Report Section"/>
    <w:basedOn w:val="Normal"/>
    <w:next w:val="Normal"/>
    <w:rsid w:val="00507A1C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Privacy">
    <w:name w:val="Report Privacy"/>
    <w:basedOn w:val="Normal"/>
    <w:next w:val="ReportSection"/>
    <w:rsid w:val="00507A1C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Title">
    <w:name w:val="Report Title"/>
    <w:basedOn w:val="Normal"/>
    <w:rsid w:val="00507A1C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rsid w:val="00507A1C"/>
    <w:pPr>
      <w:spacing w:before="100" w:after="100"/>
    </w:pPr>
    <w:rPr>
      <w:rFonts w:ascii="Arial" w:hAnsi="Arial"/>
      <w:b/>
    </w:rPr>
  </w:style>
  <w:style w:type="paragraph" w:customStyle="1" w:styleId="ReportQuestion">
    <w:name w:val="Report Question"/>
    <w:basedOn w:val="Normal"/>
    <w:next w:val="Normal"/>
    <w:rsid w:val="00507A1C"/>
    <w:pPr>
      <w:spacing w:before="240" w:after="120"/>
      <w:ind w:left="567" w:hanging="567"/>
    </w:pPr>
  </w:style>
  <w:style w:type="paragraph" w:customStyle="1" w:styleId="ReportCheckbox">
    <w:name w:val="Report Checkbox"/>
    <w:basedOn w:val="Normal"/>
    <w:next w:val="Normal"/>
    <w:rsid w:val="00507A1C"/>
    <w:pPr>
      <w:ind w:left="11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Australian Government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CMANGN</dc:creator>
  <cp:lastModifiedBy>CMANGN</cp:lastModifiedBy>
  <cp:revision>1</cp:revision>
  <dcterms:created xsi:type="dcterms:W3CDTF">2015-04-29T00:38:00Z</dcterms:created>
  <dcterms:modified xsi:type="dcterms:W3CDTF">2015-04-29T00:39:00Z</dcterms:modified>
</cp:coreProperties>
</file>