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D" w:rsidRDefault="00753934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1352D" w:rsidRDefault="00753934">
      <w:pPr>
        <w:pStyle w:val="ReportTitle"/>
      </w:pPr>
      <w:r>
        <w:t>Medical Report - Bleeding of an Intracerebral Space Occupying Lesion</w:t>
      </w:r>
    </w:p>
    <w:p w:rsidR="0061352D" w:rsidRDefault="00753934">
      <w:pPr>
        <w:pStyle w:val="ReportPrivacy"/>
      </w:pPr>
      <w:bookmarkStart w:id="1" w:name="Condition"/>
      <w:bookmarkStart w:id="2" w:name="Disclaimer"/>
      <w:bookmarkEnd w:id="1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61352D" w:rsidRDefault="0075393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61352D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75393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52D" w:rsidRDefault="0075393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52D" w:rsidRDefault="0075393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61352D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52D" w:rsidRDefault="0061352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52D" w:rsidRDefault="0061352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52D" w:rsidRDefault="0061352D">
            <w:pPr>
              <w:pStyle w:val="ReportVeteran"/>
            </w:pPr>
          </w:p>
        </w:tc>
      </w:tr>
    </w:tbl>
    <w:p w:rsidR="0061352D" w:rsidRDefault="00753934">
      <w:pPr>
        <w:pStyle w:val="ReportSection"/>
      </w:pPr>
      <w:r>
        <w:t>Report Detail</w:t>
      </w:r>
    </w:p>
    <w:p w:rsidR="0061352D" w:rsidRDefault="00753934">
      <w:bookmarkStart w:id="3" w:name="ReportBody"/>
      <w:bookmarkEnd w:id="3"/>
      <w:r>
        <w:t>A claim for service related compensation in respect of the above</w:t>
      </w:r>
      <w:r w:rsidR="00B61F52">
        <w:t xml:space="preserve"> </w:t>
      </w:r>
      <w:r>
        <w:t xml:space="preserve">named leads the Department to consider whether bleeding of an intracerebral space occupying lesion could be relevant to the development of </w:t>
      </w:r>
      <w:r w:rsidR="00B61F52">
        <w:t>(</w:t>
      </w:r>
      <w:r w:rsidR="004D4417">
        <w:t>___________________________</w:t>
      </w:r>
      <w:r w:rsidR="00B61F52">
        <w:t>)</w:t>
      </w:r>
      <w:r>
        <w:t xml:space="preserve"> in this case.  Would you please answer the following questions:</w:t>
      </w:r>
    </w:p>
    <w:p w:rsidR="0061352D" w:rsidRDefault="00753934">
      <w:pPr>
        <w:spacing w:before="120"/>
      </w:pPr>
      <w:r>
        <w:t>1.</w:t>
      </w:r>
      <w:r>
        <w:tab/>
        <w:t xml:space="preserve">When was the clinical onset of </w:t>
      </w:r>
      <w:r w:rsidR="00B61F52">
        <w:t>(</w:t>
      </w:r>
      <w:r w:rsidR="004D4417">
        <w:t>____________________________</w:t>
      </w:r>
      <w:r w:rsidR="00B61F52">
        <w:t>)</w:t>
      </w:r>
      <w:r>
        <w:t>?………./………./……….</w:t>
      </w:r>
    </w:p>
    <w:p w:rsidR="0061352D" w:rsidRDefault="00753934">
      <w:pPr>
        <w:spacing w:before="120" w:after="240"/>
        <w:ind w:left="720" w:hanging="720"/>
      </w:pPr>
      <w:r>
        <w:t>2.</w:t>
      </w:r>
      <w:r>
        <w:tab/>
        <w:t>Please indicate if the veteran has had any of the following conditions: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52"/>
        <w:gridCol w:w="2127"/>
        <w:gridCol w:w="1701"/>
        <w:gridCol w:w="2409"/>
      </w:tblGrid>
      <w:tr w:rsidR="0061352D">
        <w:trPr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Intracerebral space occupying lesion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pStyle w:val="Heading1"/>
            </w:pPr>
            <w:r>
              <w:t>Diagnosis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remission or cure (if appropriate)</w:t>
            </w:r>
          </w:p>
        </w:tc>
      </w:tr>
      <w:tr w:rsidR="0061352D">
        <w:trPr>
          <w:jc w:val="center"/>
        </w:trPr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</w:pPr>
            <w:r>
              <w:t>Abscess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61352D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61352D">
        <w:trPr>
          <w:jc w:val="center"/>
        </w:trPr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</w:pPr>
            <w:r>
              <w:t>Cyst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61352D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61352D">
        <w:trPr>
          <w:jc w:val="center"/>
        </w:trPr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</w:pPr>
            <w:r>
              <w:t>neoplasm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61352D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61352D">
        <w:trPr>
          <w:jc w:val="center"/>
        </w:trPr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</w:pPr>
            <w:proofErr w:type="spellStart"/>
            <w:r>
              <w:t>tuberculoma</w:t>
            </w:r>
            <w:proofErr w:type="spellEnd"/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61352D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352D" w:rsidRDefault="00753934">
            <w:pPr>
              <w:spacing w:before="120" w:after="120"/>
              <w:jc w:val="center"/>
            </w:pPr>
            <w:r>
              <w:t>/        /</w:t>
            </w:r>
          </w:p>
        </w:tc>
      </w:tr>
    </w:tbl>
    <w:p w:rsidR="0061352D" w:rsidRDefault="00753934">
      <w:pPr>
        <w:spacing w:before="240" w:after="120"/>
      </w:pPr>
      <w:r>
        <w:t>3.</w:t>
      </w:r>
      <w:r>
        <w:tab/>
        <w:t xml:space="preserve">Was the lesion bleeding at the time of onset of </w:t>
      </w:r>
      <w:r w:rsidR="00B61F52">
        <w:t>(</w:t>
      </w:r>
      <w:r w:rsidR="004D4417">
        <w:t>___________________________________</w:t>
      </w:r>
      <w:bookmarkStart w:id="4" w:name="_GoBack"/>
      <w:bookmarkEnd w:id="4"/>
      <w:r w:rsidR="00B61F52">
        <w:t>)</w:t>
      </w:r>
      <w:r>
        <w:t>?</w:t>
      </w:r>
    </w:p>
    <w:p w:rsidR="0061352D" w:rsidRDefault="00753934" w:rsidP="00753934">
      <w:pPr>
        <w:pStyle w:val="ReportCheckbox"/>
        <w:numPr>
          <w:ilvl w:val="0"/>
          <w:numId w:val="1"/>
        </w:numPr>
        <w:tabs>
          <w:tab w:val="left" w:pos="928"/>
        </w:tabs>
        <w:rPr>
          <w:i/>
        </w:rPr>
      </w:pPr>
      <w:r>
        <w:rPr>
          <w:b/>
        </w:rPr>
        <w:t xml:space="preserve">No </w:t>
      </w:r>
    </w:p>
    <w:p w:rsidR="0061352D" w:rsidRDefault="00753934" w:rsidP="00753934">
      <w:pPr>
        <w:pStyle w:val="ReportCheckbox"/>
        <w:numPr>
          <w:ilvl w:val="0"/>
          <w:numId w:val="1"/>
        </w:numPr>
        <w:tabs>
          <w:tab w:val="left" w:pos="928"/>
        </w:tabs>
        <w:rPr>
          <w:i/>
        </w:rPr>
      </w:pPr>
      <w:r>
        <w:rPr>
          <w:b/>
        </w:rPr>
        <w:t xml:space="preserve">Yes </w:t>
      </w:r>
    </w:p>
    <w:p w:rsidR="0061352D" w:rsidRDefault="0061352D">
      <w:pPr>
        <w:rPr>
          <w:sz w:val="16"/>
        </w:rPr>
      </w:pPr>
      <w:bookmarkStart w:id="5" w:name="WorseningQuestions"/>
      <w:bookmarkEnd w:id="5"/>
    </w:p>
    <w:p w:rsidR="0061352D" w:rsidRDefault="00753934">
      <w:pPr>
        <w:pStyle w:val="ReportSection"/>
        <w:framePr w:hSpace="181" w:wrap="notBeside" w:hAnchor="margin" w:yAlign="bottom"/>
      </w:pPr>
      <w:bookmarkStart w:id="6" w:name="StartHere"/>
      <w:bookmarkStart w:id="7" w:name="SignatureBlock"/>
      <w:bookmarkEnd w:id="6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1352D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75393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</w:tr>
      <w:tr w:rsidR="0061352D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</w:tr>
      <w:tr w:rsidR="0061352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75393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1352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</w:tr>
      <w:tr w:rsidR="0061352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</w:tr>
      <w:tr w:rsidR="0061352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352D" w:rsidRDefault="0061352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52D" w:rsidRDefault="00753934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61352D" w:rsidRDefault="0061352D"/>
    <w:sectPr w:rsidR="0061352D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2D" w:rsidRDefault="00753934">
      <w:r>
        <w:separator/>
      </w:r>
    </w:p>
  </w:endnote>
  <w:endnote w:type="continuationSeparator" w:id="0">
    <w:p w:rsidR="0061352D" w:rsidRDefault="007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D" w:rsidRDefault="00753934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4D4417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2D" w:rsidRDefault="00753934">
      <w:r>
        <w:separator/>
      </w:r>
    </w:p>
  </w:footnote>
  <w:footnote w:type="continuationSeparator" w:id="0">
    <w:p w:rsidR="0061352D" w:rsidRDefault="0075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EA94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120" w:legacyIndent="360"/>
        <w:lvlJc w:val="left"/>
        <w:pPr>
          <w:ind w:left="928" w:hanging="360"/>
        </w:pPr>
        <w:rPr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34"/>
    <w:rsid w:val="004D4417"/>
    <w:rsid w:val="0061352D"/>
    <w:rsid w:val="00753934"/>
    <w:rsid w:val="00A934F6"/>
    <w:rsid w:val="00B61F52"/>
    <w:rsid w:val="00C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Haematological Disorder Associated with an Excessive Bleeding Tendency</vt:lpstr>
    </vt:vector>
  </TitlesOfParts>
  <Company>SoftLaw Corporation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Haematological Disorder Associated with an Excessive Bleeding Tendency</dc:title>
  <dc:subject>Questionnaires</dc:subject>
  <dc:creator>SoftLaw Corporation</dc:creator>
  <cp:lastModifiedBy>CMANGN</cp:lastModifiedBy>
  <cp:revision>6</cp:revision>
  <cp:lastPrinted>2015-06-10T05:20:00Z</cp:lastPrinted>
  <dcterms:created xsi:type="dcterms:W3CDTF">2015-05-04T22:53:00Z</dcterms:created>
  <dcterms:modified xsi:type="dcterms:W3CDTF">2015-06-10T05:21:00Z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Haematological Disorder Associated with an Excessive Bleeding Tendency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CSMG010MR9364 12/03/2007</vt:lpwstr>
  </property>
  <property fmtid="{D5CDD505-2E9C-101B-9397-08002B2CF9AE}" pid="7" name="ReportNumber">
    <vt:lpwstr>9364</vt:lpwstr>
  </property>
  <property fmtid="{D5CDD505-2E9C-101B-9397-08002B2CF9AE}" pid="8" name="SOP">
    <vt:lpwstr>G010</vt:lpwstr>
  </property>
  <property fmtid="{D5CDD505-2E9C-101B-9397-08002B2CF9AE}" pid="9" name="DocumentName">
    <vt:lpwstr>MR9364</vt:lpwstr>
  </property>
</Properties>
</file>