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2F" w:rsidRDefault="0008392F">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8392F" w:rsidRDefault="0008392F">
      <w:pPr>
        <w:pStyle w:val="ReportTitle"/>
      </w:pPr>
      <w:bookmarkStart w:id="0" w:name="ReportType"/>
      <w:bookmarkStart w:id="1" w:name="QuestionnaireTitle"/>
      <w:bookmarkStart w:id="2" w:name="DVAHead"/>
      <w:bookmarkEnd w:id="0"/>
      <w:r>
        <w:t xml:space="preserve">Medical Report - </w:t>
      </w:r>
      <w:bookmarkStart w:id="3" w:name="Contention"/>
      <w:bookmarkEnd w:id="3"/>
      <w:r>
        <w:t>Blunt or Penetrating Trauma to the External Genitals, Perineum or Pelvis</w:t>
      </w:r>
      <w:bookmarkEnd w:id="1"/>
      <w:r>
        <w:t xml:space="preserve"> - </w:t>
      </w:r>
      <w:bookmarkStart w:id="4" w:name="Condition"/>
      <w:bookmarkEnd w:id="4"/>
      <w:r w:rsidR="00254F92">
        <w:rPr>
          <w:snapToGrid w:val="0"/>
        </w:rPr>
        <w:t>Erectile Dysfunction</w:t>
      </w:r>
    </w:p>
    <w:p w:rsidR="0008392F" w:rsidRDefault="0008392F">
      <w:pPr>
        <w:pStyle w:val="ReportPrivacy"/>
      </w:pPr>
      <w:bookmarkStart w:id="5" w:name="Disclaimer"/>
      <w:bookmarkEnd w:id="2"/>
      <w:r>
        <w:t xml:space="preserve">The information you provide on this form will assist in deciding eligibility for benefits under the Veterans' Entitlements Act </w:t>
      </w:r>
      <w:r w:rsidR="007A3D36">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08392F" w:rsidRDefault="0008392F">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08392F">
        <w:trPr>
          <w:gridAfter w:val="1"/>
          <w:wAfter w:w="15" w:type="dxa"/>
          <w:cantSplit/>
        </w:trPr>
        <w:tc>
          <w:tcPr>
            <w:tcW w:w="3040" w:type="dxa"/>
            <w:tcBorders>
              <w:top w:val="nil"/>
              <w:left w:val="nil"/>
              <w:bottom w:val="nil"/>
              <w:right w:val="nil"/>
            </w:tcBorders>
          </w:tcPr>
          <w:p w:rsidR="0008392F" w:rsidRDefault="0008392F">
            <w:pPr>
              <w:rPr>
                <w:b/>
              </w:rPr>
            </w:pPr>
            <w:r>
              <w:rPr>
                <w:b/>
              </w:rPr>
              <w:t>Surname</w:t>
            </w:r>
          </w:p>
        </w:tc>
        <w:tc>
          <w:tcPr>
            <w:tcW w:w="270" w:type="dxa"/>
            <w:tcBorders>
              <w:top w:val="nil"/>
              <w:left w:val="nil"/>
              <w:bottom w:val="nil"/>
              <w:right w:val="nil"/>
            </w:tcBorders>
          </w:tcPr>
          <w:p w:rsidR="0008392F" w:rsidRDefault="0008392F">
            <w:pPr>
              <w:rPr>
                <w:b/>
              </w:rPr>
            </w:pPr>
          </w:p>
        </w:tc>
        <w:tc>
          <w:tcPr>
            <w:tcW w:w="3557" w:type="dxa"/>
            <w:gridSpan w:val="2"/>
            <w:tcBorders>
              <w:top w:val="nil"/>
              <w:left w:val="nil"/>
              <w:bottom w:val="nil"/>
              <w:right w:val="nil"/>
            </w:tcBorders>
          </w:tcPr>
          <w:p w:rsidR="0008392F" w:rsidRDefault="0008392F">
            <w:pPr>
              <w:rPr>
                <w:b/>
              </w:rPr>
            </w:pPr>
            <w:r>
              <w:rPr>
                <w:b/>
              </w:rPr>
              <w:t>Given Names</w:t>
            </w:r>
          </w:p>
        </w:tc>
        <w:tc>
          <w:tcPr>
            <w:tcW w:w="283" w:type="dxa"/>
            <w:gridSpan w:val="2"/>
            <w:tcBorders>
              <w:top w:val="nil"/>
              <w:left w:val="nil"/>
              <w:bottom w:val="nil"/>
              <w:right w:val="nil"/>
            </w:tcBorders>
          </w:tcPr>
          <w:p w:rsidR="0008392F" w:rsidRDefault="0008392F">
            <w:pPr>
              <w:rPr>
                <w:b/>
              </w:rPr>
            </w:pPr>
          </w:p>
        </w:tc>
        <w:tc>
          <w:tcPr>
            <w:tcW w:w="2836" w:type="dxa"/>
            <w:gridSpan w:val="2"/>
            <w:tcBorders>
              <w:top w:val="nil"/>
              <w:left w:val="nil"/>
              <w:bottom w:val="nil"/>
              <w:right w:val="nil"/>
            </w:tcBorders>
          </w:tcPr>
          <w:p w:rsidR="0008392F" w:rsidRDefault="0008392F">
            <w:pPr>
              <w:rPr>
                <w:b/>
              </w:rPr>
            </w:pPr>
            <w:r>
              <w:rPr>
                <w:b/>
              </w:rPr>
              <w:t>DVA File Number</w:t>
            </w:r>
          </w:p>
        </w:tc>
      </w:tr>
      <w:tr w:rsidR="0008392F">
        <w:trPr>
          <w:cantSplit/>
        </w:trPr>
        <w:tc>
          <w:tcPr>
            <w:tcW w:w="3040" w:type="dxa"/>
            <w:tcBorders>
              <w:top w:val="single" w:sz="6" w:space="0" w:color="auto"/>
              <w:left w:val="single" w:sz="6" w:space="0" w:color="auto"/>
              <w:bottom w:val="single" w:sz="12" w:space="0" w:color="auto"/>
              <w:right w:val="single" w:sz="12" w:space="0" w:color="auto"/>
            </w:tcBorders>
          </w:tcPr>
          <w:p w:rsidR="0008392F" w:rsidRDefault="0008392F">
            <w:pPr>
              <w:pStyle w:val="ReportVeteran"/>
            </w:pPr>
          </w:p>
        </w:tc>
        <w:tc>
          <w:tcPr>
            <w:tcW w:w="284" w:type="dxa"/>
            <w:gridSpan w:val="2"/>
            <w:tcBorders>
              <w:top w:val="nil"/>
              <w:left w:val="nil"/>
              <w:bottom w:val="nil"/>
              <w:right w:val="nil"/>
            </w:tcBorders>
          </w:tcPr>
          <w:p w:rsidR="0008392F" w:rsidRDefault="0008392F">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8392F" w:rsidRDefault="0008392F">
            <w:pPr>
              <w:pStyle w:val="ReportVeteran"/>
            </w:pPr>
          </w:p>
        </w:tc>
        <w:tc>
          <w:tcPr>
            <w:tcW w:w="284" w:type="dxa"/>
            <w:gridSpan w:val="2"/>
            <w:tcBorders>
              <w:top w:val="nil"/>
              <w:left w:val="nil"/>
              <w:bottom w:val="nil"/>
              <w:right w:val="nil"/>
            </w:tcBorders>
          </w:tcPr>
          <w:p w:rsidR="0008392F" w:rsidRDefault="0008392F">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8392F" w:rsidRDefault="0008392F">
            <w:pPr>
              <w:pStyle w:val="ReportVeteran"/>
            </w:pPr>
          </w:p>
        </w:tc>
      </w:tr>
    </w:tbl>
    <w:p w:rsidR="0008392F" w:rsidRDefault="0008392F">
      <w:pPr>
        <w:pStyle w:val="ReportSection"/>
      </w:pPr>
      <w:r>
        <w:t>Report Detail</w:t>
      </w:r>
    </w:p>
    <w:p w:rsidR="00254F92" w:rsidRDefault="00254F92" w:rsidP="00254F92">
      <w:bookmarkStart w:id="6" w:name="ReportBody"/>
      <w:bookmarkStart w:id="7" w:name="WorseningQuestions"/>
      <w:bookmarkStart w:id="8" w:name="StartHere"/>
      <w:bookmarkStart w:id="9" w:name="SignatureBlock"/>
      <w:bookmarkEnd w:id="6"/>
      <w:bookmarkEnd w:id="7"/>
      <w:bookmarkEnd w:id="8"/>
      <w:r>
        <w:t>A claim for service related compensation in respect of the above</w:t>
      </w:r>
      <w:r w:rsidR="00EE3BD0">
        <w:t xml:space="preserve"> </w:t>
      </w:r>
      <w:r>
        <w:t xml:space="preserve">named leads the Department to consider whether blunt or penetrating trauma to the external genitals, perineum or pelvis could be a factor in the development of </w:t>
      </w:r>
      <w:r>
        <w:rPr>
          <w:snapToGrid w:val="0"/>
        </w:rPr>
        <w:t>erectile dysfunction</w:t>
      </w:r>
      <w:r>
        <w:t xml:space="preserve"> in this case. The Repatriation Medical Authority has defined blunt or penetrating trauma to mean </w:t>
      </w:r>
      <w:r>
        <w:rPr>
          <w:i/>
        </w:rPr>
        <w:t>an injury that results in pain and swelling for at least 48 hours and which is of sufficient severity to warrant medical attention</w:t>
      </w:r>
      <w:r>
        <w:t xml:space="preserve">.  </w:t>
      </w:r>
    </w:p>
    <w:p w:rsidR="00254F92" w:rsidRDefault="00254F92" w:rsidP="00254F92">
      <w:pPr>
        <w:spacing w:before="120"/>
      </w:pPr>
      <w:r>
        <w:t>Would you please answer the following questions:</w:t>
      </w:r>
    </w:p>
    <w:p w:rsidR="00254F92" w:rsidRDefault="00254F92" w:rsidP="00254F92">
      <w:pPr>
        <w:pStyle w:val="ReportQuestion"/>
        <w:spacing w:before="120" w:after="0"/>
      </w:pPr>
      <w:r>
        <w:t>1.</w:t>
      </w:r>
      <w:r>
        <w:tab/>
        <w:t xml:space="preserve">Did the veteran suffer from a blunt or penetrating trauma, including surgical trauma, to the external genitals, perineum or pelvis in the </w:t>
      </w:r>
      <w:r>
        <w:rPr>
          <w:b/>
        </w:rPr>
        <w:t>90 days immediately before</w:t>
      </w:r>
      <w:r>
        <w:t xml:space="preserve"> the clinical onset of </w:t>
      </w:r>
      <w:r>
        <w:rPr>
          <w:snapToGrid w:val="0"/>
        </w:rPr>
        <w:t>erectile dysfunction</w:t>
      </w:r>
      <w:r>
        <w:t xml:space="preserve">? </w:t>
      </w:r>
    </w:p>
    <w:p w:rsidR="00254F92" w:rsidRDefault="00254F92" w:rsidP="00254F92">
      <w:pPr>
        <w:pStyle w:val="ReportCheckbox"/>
        <w:spacing w:before="120"/>
        <w:ind w:left="1134"/>
        <w:rPr>
          <w:i/>
        </w:rPr>
      </w:pPr>
      <w:r>
        <w:rPr>
          <w:rFonts w:ascii="Wingdings" w:hAnsi="Wingdings"/>
          <w:sz w:val="32"/>
        </w:rPr>
        <w:t></w:t>
      </w:r>
      <w:r>
        <w:rPr>
          <w:rFonts w:ascii="Wingdings" w:hAnsi="Wingdings"/>
          <w:sz w:val="32"/>
        </w:rPr>
        <w:tab/>
      </w:r>
      <w:r>
        <w:rPr>
          <w:b/>
        </w:rPr>
        <w:t xml:space="preserve">No </w:t>
      </w:r>
    </w:p>
    <w:p w:rsidR="00254F92" w:rsidRDefault="00254F92" w:rsidP="00254F92">
      <w:pPr>
        <w:pStyle w:val="ReportCheckbox"/>
        <w:ind w:left="1134"/>
      </w:pPr>
      <w:r>
        <w:rPr>
          <w:rFonts w:ascii="Wingdings" w:hAnsi="Wingdings"/>
          <w:sz w:val="32"/>
        </w:rPr>
        <w:t></w:t>
      </w:r>
      <w:r>
        <w:tab/>
      </w:r>
      <w:r>
        <w:rPr>
          <w:b/>
        </w:rPr>
        <w:t xml:space="preserve">Yes </w:t>
      </w:r>
    </w:p>
    <w:p w:rsidR="00254F92" w:rsidRDefault="00254F92" w:rsidP="00254F92">
      <w:pPr>
        <w:pStyle w:val="ReportQuestion"/>
        <w:spacing w:before="120"/>
      </w:pPr>
      <w:r>
        <w:t>2.</w:t>
      </w:r>
      <w:r>
        <w:tab/>
        <w:t>When did the trauma occur?</w:t>
      </w:r>
    </w:p>
    <w:tbl>
      <w:tblPr>
        <w:tblW w:w="0" w:type="auto"/>
        <w:jc w:val="center"/>
        <w:tblInd w:w="-267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229"/>
      </w:tblGrid>
      <w:tr w:rsidR="00254F92">
        <w:trPr>
          <w:jc w:val="center"/>
        </w:trPr>
        <w:tc>
          <w:tcPr>
            <w:tcW w:w="9229" w:type="dxa"/>
            <w:tcBorders>
              <w:top w:val="single" w:sz="6" w:space="0" w:color="C0C0C0"/>
              <w:left w:val="single" w:sz="6" w:space="0" w:color="C0C0C0"/>
              <w:bottom w:val="single" w:sz="6" w:space="0" w:color="C0C0C0"/>
              <w:right w:val="single" w:sz="6" w:space="0" w:color="C0C0C0"/>
            </w:tcBorders>
          </w:tcPr>
          <w:p w:rsidR="00254F92" w:rsidRDefault="00254F92" w:rsidP="00254F92">
            <w:pPr>
              <w:spacing w:before="120" w:after="120"/>
              <w:ind w:right="713"/>
              <w:jc w:val="right"/>
            </w:pPr>
            <w:r>
              <w:t xml:space="preserve">      /        /      </w:t>
            </w:r>
          </w:p>
        </w:tc>
      </w:tr>
    </w:tbl>
    <w:p w:rsidR="00254F92" w:rsidRDefault="00254F92" w:rsidP="00254F92">
      <w:pPr>
        <w:pStyle w:val="ReportQuestion"/>
        <w:spacing w:before="120"/>
      </w:pPr>
      <w:r>
        <w:t>3.</w:t>
      </w:r>
      <w:r>
        <w:tab/>
        <w:t>How did the trauma occur?  Did it occur as a consequence of a medical or surgical condition?  (</w:t>
      </w:r>
      <w:proofErr w:type="spellStart"/>
      <w:r>
        <w:t>eg</w:t>
      </w:r>
      <w:proofErr w:type="spellEnd"/>
      <w:r>
        <w:t>, a fall occurring as a result of a transient ischaemic attack.)  If so, what was the condition?</w:t>
      </w:r>
    </w:p>
    <w:tbl>
      <w:tblPr>
        <w:tblW w:w="0" w:type="auto"/>
        <w:jc w:val="center"/>
        <w:tblInd w:w="6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240"/>
      </w:tblGrid>
      <w:tr w:rsidR="00254F92">
        <w:trPr>
          <w:jc w:val="center"/>
        </w:trPr>
        <w:tc>
          <w:tcPr>
            <w:tcW w:w="9240" w:type="dxa"/>
            <w:tcBorders>
              <w:top w:val="single" w:sz="6" w:space="0" w:color="C0C0C0"/>
              <w:left w:val="single" w:sz="6" w:space="0" w:color="C0C0C0"/>
              <w:bottom w:val="single" w:sz="6" w:space="0" w:color="C0C0C0"/>
              <w:right w:val="single" w:sz="6" w:space="0" w:color="C0C0C0"/>
            </w:tcBorders>
          </w:tcPr>
          <w:p w:rsidR="00254F92" w:rsidRDefault="00254F92" w:rsidP="00254F92">
            <w:pPr>
              <w:spacing w:before="120" w:after="120"/>
            </w:pPr>
          </w:p>
        </w:tc>
      </w:tr>
      <w:tr w:rsidR="00254F92">
        <w:trPr>
          <w:jc w:val="center"/>
        </w:trPr>
        <w:tc>
          <w:tcPr>
            <w:tcW w:w="9240" w:type="dxa"/>
            <w:tcBorders>
              <w:top w:val="single" w:sz="6" w:space="0" w:color="C0C0C0"/>
              <w:left w:val="single" w:sz="6" w:space="0" w:color="C0C0C0"/>
              <w:bottom w:val="single" w:sz="6" w:space="0" w:color="C0C0C0"/>
              <w:right w:val="single" w:sz="6" w:space="0" w:color="C0C0C0"/>
            </w:tcBorders>
          </w:tcPr>
          <w:p w:rsidR="00254F92" w:rsidRDefault="00254F92" w:rsidP="00254F92">
            <w:pPr>
              <w:spacing w:before="120" w:after="120"/>
            </w:pPr>
          </w:p>
        </w:tc>
      </w:tr>
      <w:bookmarkEnd w:id="9"/>
    </w:tbl>
    <w:p w:rsidR="00254F92" w:rsidRDefault="00254F92" w:rsidP="00254F92">
      <w:pPr>
        <w:pStyle w:val="ReportQuestion"/>
        <w:numPr>
          <w:ilvl w:val="12"/>
          <w:numId w:val="0"/>
        </w:numPr>
        <w:ind w:left="567" w:hanging="567"/>
      </w:pPr>
      <w:r>
        <w:br w:type="page"/>
      </w:r>
      <w:r>
        <w:lastRenderedPageBreak/>
        <w:t>4.</w:t>
      </w:r>
      <w:r>
        <w:tab/>
        <w:t xml:space="preserve">Did the </w:t>
      </w:r>
      <w:r>
        <w:rPr>
          <w:snapToGrid w:val="0"/>
        </w:rPr>
        <w:t>erectile dysfunction</w:t>
      </w:r>
      <w:r>
        <w:t xml:space="preserve">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254F92" w:rsidRDefault="00254F92" w:rsidP="00254F92">
      <w:pPr>
        <w:pStyle w:val="ReportCheckbox"/>
        <w:numPr>
          <w:ilvl w:val="12"/>
          <w:numId w:val="0"/>
        </w:numPr>
        <w:ind w:left="1135" w:hanging="567"/>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254F92" w:rsidRDefault="00254F92" w:rsidP="00254F92">
      <w:pPr>
        <w:pStyle w:val="ReportCheckbox"/>
        <w:numPr>
          <w:ilvl w:val="0"/>
          <w:numId w:val="1"/>
        </w:numPr>
        <w:spacing w:after="120"/>
        <w:ind w:left="1140" w:hanging="573"/>
      </w:pPr>
      <w:r>
        <w:rPr>
          <w:b/>
        </w:rPr>
        <w:t xml:space="preserve">Yes </w:t>
      </w:r>
    </w:p>
    <w:p w:rsidR="00254F92" w:rsidRDefault="00254F92" w:rsidP="00254F92">
      <w:pPr>
        <w:pStyle w:val="ReportQuestion"/>
        <w:spacing w:before="120" w:after="0"/>
      </w:pPr>
      <w:r>
        <w:t>5.</w:t>
      </w:r>
      <w:r>
        <w:tab/>
        <w:t xml:space="preserve">Did the veteran suffer from a blunt or penetrating trauma, including surgical trauma, to the external genitals, perineum or pelvis in the </w:t>
      </w:r>
      <w:r>
        <w:rPr>
          <w:b/>
        </w:rPr>
        <w:t>90 days immediately before</w:t>
      </w:r>
      <w:r>
        <w:t xml:space="preserve"> the clinical worsening of </w:t>
      </w:r>
      <w:r>
        <w:rPr>
          <w:snapToGrid w:val="0"/>
        </w:rPr>
        <w:t>erectile dysfunction</w:t>
      </w:r>
      <w:r>
        <w:t xml:space="preserve">? </w:t>
      </w:r>
    </w:p>
    <w:p w:rsidR="00254F92" w:rsidRDefault="00254F92" w:rsidP="00254F92">
      <w:pPr>
        <w:pStyle w:val="ReportCheckbox"/>
        <w:spacing w:before="120"/>
        <w:ind w:left="1134"/>
        <w:rPr>
          <w:i/>
        </w:rPr>
      </w:pPr>
      <w:r>
        <w:rPr>
          <w:rFonts w:ascii="Wingdings" w:hAnsi="Wingdings"/>
          <w:sz w:val="32"/>
        </w:rPr>
        <w:t></w:t>
      </w:r>
      <w:r>
        <w:rPr>
          <w:rFonts w:ascii="Wingdings" w:hAnsi="Wingdings"/>
          <w:sz w:val="32"/>
        </w:rPr>
        <w:tab/>
      </w:r>
      <w:r>
        <w:rPr>
          <w:b/>
        </w:rPr>
        <w:t xml:space="preserve">No </w:t>
      </w:r>
    </w:p>
    <w:p w:rsidR="00254F92" w:rsidRDefault="00254F92" w:rsidP="00254F92">
      <w:pPr>
        <w:pStyle w:val="ReportCheckbox"/>
        <w:ind w:left="1134"/>
      </w:pPr>
      <w:r>
        <w:rPr>
          <w:rFonts w:ascii="Wingdings" w:hAnsi="Wingdings"/>
          <w:sz w:val="32"/>
        </w:rPr>
        <w:t></w:t>
      </w:r>
      <w:r>
        <w:tab/>
      </w:r>
      <w:r>
        <w:rPr>
          <w:b/>
        </w:rPr>
        <w:t xml:space="preserve">Yes – </w:t>
      </w:r>
      <w:r>
        <w:rPr>
          <w:i/>
        </w:rPr>
        <w:t>if so, please provide details of the trauma and date of clinical worsening</w:t>
      </w:r>
    </w:p>
    <w:p w:rsidR="00254F92" w:rsidRDefault="00254F92" w:rsidP="00254F92"/>
    <w:tbl>
      <w:tblPr>
        <w:tblW w:w="9246" w:type="dxa"/>
        <w:jc w:val="center"/>
        <w:tblInd w:w="-10155" w:type="dxa"/>
        <w:tblLayout w:type="fixed"/>
        <w:tblLook w:val="0000" w:firstRow="0" w:lastRow="0" w:firstColumn="0" w:lastColumn="0" w:noHBand="0" w:noVBand="0"/>
      </w:tblPr>
      <w:tblGrid>
        <w:gridCol w:w="9246"/>
      </w:tblGrid>
      <w:tr w:rsidR="00254F92">
        <w:trPr>
          <w:cantSplit/>
          <w:trHeight w:val="578"/>
          <w:jc w:val="center"/>
        </w:trPr>
        <w:tc>
          <w:tcPr>
            <w:tcW w:w="9246" w:type="dxa"/>
            <w:tcBorders>
              <w:top w:val="single" w:sz="6" w:space="0" w:color="C0C0C0"/>
              <w:left w:val="single" w:sz="6" w:space="0" w:color="C0C0C0"/>
              <w:bottom w:val="single" w:sz="6" w:space="0" w:color="C0C0C0"/>
              <w:right w:val="single" w:sz="6" w:space="0" w:color="C0C0C0"/>
            </w:tcBorders>
          </w:tcPr>
          <w:p w:rsidR="00254F92" w:rsidRDefault="00254F92" w:rsidP="00254F92">
            <w:pPr>
              <w:pStyle w:val="ReportAnswerBox"/>
              <w:numPr>
                <w:ilvl w:val="12"/>
                <w:numId w:val="0"/>
              </w:numPr>
              <w:jc w:val="right"/>
            </w:pPr>
            <w:r>
              <w:t>………./………./……….</w:t>
            </w:r>
          </w:p>
        </w:tc>
      </w:tr>
      <w:tr w:rsidR="00254F92">
        <w:trPr>
          <w:cantSplit/>
          <w:trHeight w:val="544"/>
          <w:jc w:val="center"/>
        </w:trPr>
        <w:tc>
          <w:tcPr>
            <w:tcW w:w="9246" w:type="dxa"/>
            <w:tcBorders>
              <w:top w:val="single" w:sz="6" w:space="0" w:color="C0C0C0"/>
              <w:left w:val="single" w:sz="6" w:space="0" w:color="C0C0C0"/>
              <w:bottom w:val="single" w:sz="6" w:space="0" w:color="C0C0C0"/>
              <w:right w:val="single" w:sz="6" w:space="0" w:color="C0C0C0"/>
            </w:tcBorders>
          </w:tcPr>
          <w:p w:rsidR="00254F92" w:rsidRDefault="00254F92" w:rsidP="00254F92">
            <w:pPr>
              <w:pStyle w:val="ReportAnswerBox"/>
            </w:pPr>
          </w:p>
        </w:tc>
      </w:tr>
      <w:tr w:rsidR="00254F92">
        <w:trPr>
          <w:cantSplit/>
          <w:trHeight w:val="544"/>
          <w:jc w:val="center"/>
        </w:trPr>
        <w:tc>
          <w:tcPr>
            <w:tcW w:w="9246" w:type="dxa"/>
            <w:tcBorders>
              <w:top w:val="single" w:sz="6" w:space="0" w:color="C0C0C0"/>
              <w:left w:val="single" w:sz="6" w:space="0" w:color="C0C0C0"/>
              <w:bottom w:val="single" w:sz="6" w:space="0" w:color="C0C0C0"/>
              <w:right w:val="single" w:sz="6" w:space="0" w:color="C0C0C0"/>
            </w:tcBorders>
          </w:tcPr>
          <w:p w:rsidR="00254F92" w:rsidRDefault="00254F92" w:rsidP="00254F92">
            <w:pPr>
              <w:pStyle w:val="ReportAnswerBox"/>
            </w:pPr>
          </w:p>
        </w:tc>
      </w:tr>
    </w:tbl>
    <w:p w:rsidR="00254F92" w:rsidRDefault="00254F92">
      <w:pPr>
        <w:rPr>
          <w:sz w:val="16"/>
        </w:rPr>
      </w:pPr>
      <w:bookmarkStart w:id="10" w:name="_GoBack"/>
      <w:bookmarkEnd w:id="10"/>
    </w:p>
    <w:p w:rsidR="00254F92" w:rsidRDefault="00254F92" w:rsidP="00254F92">
      <w:pPr>
        <w:pStyle w:val="ReportSection"/>
        <w:framePr w:hSpace="181" w:wrap="notBeside" w:vAnchor="page" w:hAnchor="page" w:x="990" w:y="13306"/>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254F92">
        <w:trPr>
          <w:cantSplit/>
        </w:trPr>
        <w:tc>
          <w:tcPr>
            <w:tcW w:w="4854" w:type="dxa"/>
            <w:tcBorders>
              <w:top w:val="nil"/>
              <w:left w:val="nil"/>
              <w:bottom w:val="nil"/>
              <w:right w:val="nil"/>
            </w:tcBorders>
          </w:tcPr>
          <w:p w:rsidR="00254F92" w:rsidRDefault="00254F92" w:rsidP="00254F92">
            <w:pPr>
              <w:framePr w:hSpace="181" w:wrap="notBeside" w:vAnchor="page" w:hAnchor="page" w:x="990" w:y="13306"/>
              <w:rPr>
                <w:b/>
              </w:rPr>
            </w:pPr>
            <w:r>
              <w:rPr>
                <w:b/>
              </w:rPr>
              <w:t>Stamp</w:t>
            </w:r>
          </w:p>
        </w:tc>
        <w:tc>
          <w:tcPr>
            <w:tcW w:w="270" w:type="dxa"/>
            <w:tcBorders>
              <w:top w:val="nil"/>
              <w:left w:val="nil"/>
              <w:bottom w:val="nil"/>
              <w:right w:val="nil"/>
            </w:tcBorders>
          </w:tcPr>
          <w:p w:rsidR="00254F92" w:rsidRDefault="00254F92" w:rsidP="00254F92">
            <w:pPr>
              <w:framePr w:hSpace="181" w:wrap="notBeside" w:vAnchor="page" w:hAnchor="page" w:x="990" w:y="13306"/>
            </w:pPr>
          </w:p>
        </w:tc>
        <w:tc>
          <w:tcPr>
            <w:tcW w:w="4833" w:type="dxa"/>
            <w:tcBorders>
              <w:top w:val="nil"/>
              <w:left w:val="nil"/>
              <w:bottom w:val="nil"/>
              <w:right w:val="nil"/>
            </w:tcBorders>
          </w:tcPr>
          <w:p w:rsidR="00254F92" w:rsidRDefault="00254F92" w:rsidP="00254F92">
            <w:pPr>
              <w:framePr w:hSpace="181" w:wrap="notBeside" w:vAnchor="page" w:hAnchor="page" w:x="990" w:y="13306"/>
            </w:pPr>
          </w:p>
        </w:tc>
      </w:tr>
      <w:tr w:rsidR="00254F92">
        <w:trPr>
          <w:cantSplit/>
        </w:trPr>
        <w:tc>
          <w:tcPr>
            <w:tcW w:w="4854" w:type="dxa"/>
            <w:tcBorders>
              <w:top w:val="single" w:sz="6" w:space="0" w:color="auto"/>
              <w:left w:val="single" w:sz="6" w:space="0" w:color="auto"/>
              <w:bottom w:val="nil"/>
              <w:right w:val="single" w:sz="12" w:space="0" w:color="auto"/>
            </w:tcBorders>
          </w:tcPr>
          <w:p w:rsidR="00254F92" w:rsidRDefault="00254F92" w:rsidP="00254F92">
            <w:pPr>
              <w:framePr w:hSpace="181" w:wrap="notBeside" w:vAnchor="page" w:hAnchor="page" w:x="990" w:y="13306"/>
            </w:pPr>
          </w:p>
        </w:tc>
        <w:tc>
          <w:tcPr>
            <w:tcW w:w="270" w:type="dxa"/>
            <w:tcBorders>
              <w:top w:val="nil"/>
              <w:left w:val="nil"/>
              <w:bottom w:val="nil"/>
              <w:right w:val="nil"/>
            </w:tcBorders>
          </w:tcPr>
          <w:p w:rsidR="00254F92" w:rsidRDefault="00254F92" w:rsidP="00254F92">
            <w:pPr>
              <w:framePr w:hSpace="181" w:wrap="notBeside" w:vAnchor="page" w:hAnchor="page" w:x="990" w:y="13306"/>
            </w:pPr>
          </w:p>
        </w:tc>
        <w:tc>
          <w:tcPr>
            <w:tcW w:w="4833" w:type="dxa"/>
            <w:tcBorders>
              <w:top w:val="nil"/>
              <w:left w:val="nil"/>
              <w:bottom w:val="nil"/>
              <w:right w:val="nil"/>
            </w:tcBorders>
          </w:tcPr>
          <w:p w:rsidR="00254F92" w:rsidRDefault="00254F92" w:rsidP="00254F92">
            <w:pPr>
              <w:framePr w:hSpace="181" w:wrap="notBeside" w:vAnchor="page" w:hAnchor="page" w:x="990" w:y="13306"/>
            </w:pPr>
          </w:p>
        </w:tc>
      </w:tr>
      <w:tr w:rsidR="00254F92">
        <w:trPr>
          <w:cantSplit/>
        </w:trPr>
        <w:tc>
          <w:tcPr>
            <w:tcW w:w="4854" w:type="dxa"/>
            <w:tcBorders>
              <w:top w:val="nil"/>
              <w:left w:val="single" w:sz="6" w:space="0" w:color="auto"/>
              <w:bottom w:val="nil"/>
              <w:right w:val="single" w:sz="12" w:space="0" w:color="auto"/>
            </w:tcBorders>
          </w:tcPr>
          <w:p w:rsidR="00254F92" w:rsidRDefault="00254F92" w:rsidP="00254F92">
            <w:pPr>
              <w:framePr w:hSpace="181" w:wrap="notBeside" w:vAnchor="page" w:hAnchor="page" w:x="990" w:y="13306"/>
            </w:pPr>
          </w:p>
        </w:tc>
        <w:tc>
          <w:tcPr>
            <w:tcW w:w="270" w:type="dxa"/>
            <w:tcBorders>
              <w:top w:val="nil"/>
              <w:left w:val="nil"/>
              <w:bottom w:val="nil"/>
              <w:right w:val="nil"/>
            </w:tcBorders>
          </w:tcPr>
          <w:p w:rsidR="00254F92" w:rsidRDefault="00254F92" w:rsidP="00254F92">
            <w:pPr>
              <w:framePr w:hSpace="181" w:wrap="notBeside" w:vAnchor="page" w:hAnchor="page" w:x="990" w:y="13306"/>
            </w:pPr>
          </w:p>
        </w:tc>
        <w:tc>
          <w:tcPr>
            <w:tcW w:w="4833" w:type="dxa"/>
            <w:tcBorders>
              <w:top w:val="nil"/>
              <w:left w:val="nil"/>
              <w:bottom w:val="nil"/>
              <w:right w:val="nil"/>
            </w:tcBorders>
          </w:tcPr>
          <w:p w:rsidR="00254F92" w:rsidRDefault="00254F92" w:rsidP="00254F92">
            <w:pPr>
              <w:framePr w:hSpace="181" w:wrap="notBeside" w:vAnchor="page" w:hAnchor="page" w:x="990" w:y="13306"/>
              <w:rPr>
                <w:b/>
              </w:rPr>
            </w:pPr>
            <w:r>
              <w:rPr>
                <w:b/>
              </w:rPr>
              <w:t>Signature</w:t>
            </w:r>
          </w:p>
        </w:tc>
      </w:tr>
      <w:tr w:rsidR="00254F92">
        <w:trPr>
          <w:cantSplit/>
        </w:trPr>
        <w:tc>
          <w:tcPr>
            <w:tcW w:w="4854" w:type="dxa"/>
            <w:tcBorders>
              <w:top w:val="nil"/>
              <w:left w:val="single" w:sz="6" w:space="0" w:color="auto"/>
              <w:bottom w:val="nil"/>
              <w:right w:val="single" w:sz="12" w:space="0" w:color="auto"/>
            </w:tcBorders>
          </w:tcPr>
          <w:p w:rsidR="00254F92" w:rsidRDefault="00254F92" w:rsidP="00254F92">
            <w:pPr>
              <w:framePr w:hSpace="181" w:wrap="notBeside" w:vAnchor="page" w:hAnchor="page" w:x="990" w:y="13306"/>
            </w:pPr>
          </w:p>
        </w:tc>
        <w:tc>
          <w:tcPr>
            <w:tcW w:w="270" w:type="dxa"/>
            <w:tcBorders>
              <w:top w:val="nil"/>
              <w:left w:val="nil"/>
              <w:bottom w:val="nil"/>
              <w:right w:val="nil"/>
            </w:tcBorders>
          </w:tcPr>
          <w:p w:rsidR="00254F92" w:rsidRDefault="00254F92" w:rsidP="00254F92">
            <w:pPr>
              <w:framePr w:hSpace="181" w:wrap="notBeside" w:vAnchor="page" w:hAnchor="page" w:x="990" w:y="13306"/>
            </w:pPr>
          </w:p>
        </w:tc>
        <w:tc>
          <w:tcPr>
            <w:tcW w:w="4833" w:type="dxa"/>
            <w:tcBorders>
              <w:top w:val="single" w:sz="6" w:space="0" w:color="auto"/>
              <w:left w:val="single" w:sz="6" w:space="0" w:color="auto"/>
              <w:bottom w:val="nil"/>
              <w:right w:val="single" w:sz="12" w:space="0" w:color="auto"/>
            </w:tcBorders>
          </w:tcPr>
          <w:p w:rsidR="00254F92" w:rsidRDefault="00254F92" w:rsidP="00254F92">
            <w:pPr>
              <w:framePr w:hSpace="181" w:wrap="notBeside" w:vAnchor="page" w:hAnchor="page" w:x="990" w:y="13306"/>
            </w:pPr>
          </w:p>
        </w:tc>
      </w:tr>
      <w:tr w:rsidR="00254F92">
        <w:trPr>
          <w:cantSplit/>
        </w:trPr>
        <w:tc>
          <w:tcPr>
            <w:tcW w:w="4854" w:type="dxa"/>
            <w:tcBorders>
              <w:top w:val="nil"/>
              <w:left w:val="single" w:sz="6" w:space="0" w:color="auto"/>
              <w:bottom w:val="nil"/>
              <w:right w:val="single" w:sz="12" w:space="0" w:color="auto"/>
            </w:tcBorders>
          </w:tcPr>
          <w:p w:rsidR="00254F92" w:rsidRDefault="00254F92" w:rsidP="00254F92">
            <w:pPr>
              <w:framePr w:hSpace="181" w:wrap="notBeside" w:vAnchor="page" w:hAnchor="page" w:x="990" w:y="13306"/>
            </w:pPr>
          </w:p>
        </w:tc>
        <w:tc>
          <w:tcPr>
            <w:tcW w:w="270" w:type="dxa"/>
            <w:tcBorders>
              <w:top w:val="nil"/>
              <w:left w:val="nil"/>
              <w:bottom w:val="nil"/>
              <w:right w:val="nil"/>
            </w:tcBorders>
          </w:tcPr>
          <w:p w:rsidR="00254F92" w:rsidRDefault="00254F92" w:rsidP="00254F92">
            <w:pPr>
              <w:framePr w:hSpace="181" w:wrap="notBeside" w:vAnchor="page" w:hAnchor="page" w:x="990" w:y="13306"/>
            </w:pPr>
          </w:p>
        </w:tc>
        <w:tc>
          <w:tcPr>
            <w:tcW w:w="4833" w:type="dxa"/>
            <w:tcBorders>
              <w:top w:val="nil"/>
              <w:left w:val="single" w:sz="6" w:space="0" w:color="auto"/>
              <w:bottom w:val="nil"/>
              <w:right w:val="single" w:sz="12" w:space="0" w:color="auto"/>
            </w:tcBorders>
          </w:tcPr>
          <w:p w:rsidR="00254F92" w:rsidRDefault="00254F92" w:rsidP="00254F92">
            <w:pPr>
              <w:framePr w:hSpace="181" w:wrap="notBeside" w:vAnchor="page" w:hAnchor="page" w:x="990" w:y="13306"/>
            </w:pPr>
          </w:p>
        </w:tc>
      </w:tr>
      <w:tr w:rsidR="00254F92">
        <w:trPr>
          <w:cantSplit/>
        </w:trPr>
        <w:tc>
          <w:tcPr>
            <w:tcW w:w="4854" w:type="dxa"/>
            <w:tcBorders>
              <w:top w:val="nil"/>
              <w:left w:val="single" w:sz="6" w:space="0" w:color="auto"/>
              <w:bottom w:val="single" w:sz="12" w:space="0" w:color="auto"/>
              <w:right w:val="single" w:sz="12" w:space="0" w:color="auto"/>
            </w:tcBorders>
          </w:tcPr>
          <w:p w:rsidR="00254F92" w:rsidRDefault="00254F92" w:rsidP="00254F92">
            <w:pPr>
              <w:framePr w:hSpace="181" w:wrap="notBeside" w:vAnchor="page" w:hAnchor="page" w:x="990" w:y="13306"/>
            </w:pPr>
          </w:p>
        </w:tc>
        <w:tc>
          <w:tcPr>
            <w:tcW w:w="270" w:type="dxa"/>
            <w:tcBorders>
              <w:top w:val="nil"/>
              <w:left w:val="nil"/>
              <w:bottom w:val="nil"/>
              <w:right w:val="nil"/>
            </w:tcBorders>
          </w:tcPr>
          <w:p w:rsidR="00254F92" w:rsidRDefault="00254F92" w:rsidP="00254F92">
            <w:pPr>
              <w:framePr w:hSpace="181" w:wrap="notBeside" w:vAnchor="page" w:hAnchor="page" w:x="990" w:y="13306"/>
            </w:pPr>
          </w:p>
        </w:tc>
        <w:tc>
          <w:tcPr>
            <w:tcW w:w="4833" w:type="dxa"/>
            <w:tcBorders>
              <w:top w:val="nil"/>
              <w:left w:val="single" w:sz="6" w:space="0" w:color="auto"/>
              <w:bottom w:val="single" w:sz="12" w:space="0" w:color="auto"/>
              <w:right w:val="single" w:sz="12" w:space="0" w:color="auto"/>
            </w:tcBorders>
          </w:tcPr>
          <w:p w:rsidR="00254F92" w:rsidRDefault="00254F92" w:rsidP="00254F92">
            <w:pPr>
              <w:framePr w:hSpace="181" w:wrap="notBeside" w:vAnchor="page" w:hAnchor="page" w:x="990" w:y="13306"/>
              <w:tabs>
                <w:tab w:val="left" w:pos="3686"/>
                <w:tab w:val="left" w:pos="4111"/>
              </w:tabs>
            </w:pPr>
            <w:r>
              <w:tab/>
            </w:r>
            <w:r>
              <w:rPr>
                <w:b/>
              </w:rPr>
              <w:t>/</w:t>
            </w:r>
            <w:r>
              <w:rPr>
                <w:b/>
              </w:rPr>
              <w:tab/>
              <w:t>/</w:t>
            </w:r>
          </w:p>
        </w:tc>
      </w:tr>
    </w:tbl>
    <w:p w:rsidR="00254F92" w:rsidRDefault="00254F92">
      <w:pPr>
        <w:rPr>
          <w:sz w:val="16"/>
        </w:rPr>
      </w:pPr>
    </w:p>
    <w:sectPr w:rsidR="00254F92">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B0" w:rsidRDefault="00EC54B0">
      <w:r>
        <w:separator/>
      </w:r>
    </w:p>
  </w:endnote>
  <w:endnote w:type="continuationSeparator" w:id="0">
    <w:p w:rsidR="00EC54B0" w:rsidRDefault="00EC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33B23B8F-B0A8-4DB6-BBCA-AEF9CF31548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2F" w:rsidRDefault="0008392F">
    <w:pPr>
      <w:pStyle w:val="ReportFooter"/>
    </w:pPr>
    <w:r>
      <w:fldChar w:fldCharType="begin"/>
    </w:r>
    <w:r>
      <w:instrText xml:space="preserve"> keywords </w:instrText>
    </w:r>
    <w:r>
      <w:fldChar w:fldCharType="end"/>
    </w:r>
    <w:r>
      <w:tab/>
      <w:t>CSMK010MR9182 21/06/99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B0" w:rsidRDefault="00EC54B0">
      <w:r>
        <w:separator/>
      </w:r>
    </w:p>
  </w:footnote>
  <w:footnote w:type="continuationSeparator" w:id="0">
    <w:p w:rsidR="00EC54B0" w:rsidRDefault="00EC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2F" w:rsidRDefault="0008392F">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53682"/>
    <w:multiLevelType w:val="singleLevel"/>
    <w:tmpl w:val="CE46F73A"/>
    <w:lvl w:ilvl="0">
      <w:start w:val="4"/>
      <w:numFmt w:val="bullet"/>
      <w:lvlText w:val=""/>
      <w:lvlJc w:val="left"/>
      <w:pPr>
        <w:tabs>
          <w:tab w:val="num" w:pos="1137"/>
        </w:tabs>
        <w:ind w:left="1137" w:hanging="570"/>
      </w:pPr>
      <w:rPr>
        <w:rFonts w:ascii="Wingdings" w:hAnsi="Wingdings" w:hint="default"/>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2F"/>
    <w:rsid w:val="0008392F"/>
    <w:rsid w:val="00254F92"/>
    <w:rsid w:val="003F289E"/>
    <w:rsid w:val="00555396"/>
    <w:rsid w:val="007A3D36"/>
    <w:rsid w:val="00BF5147"/>
    <w:rsid w:val="00EC54B0"/>
    <w:rsid w:val="00EE3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370</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CMANGN</cp:lastModifiedBy>
  <cp:revision>5</cp:revision>
  <cp:lastPrinted>2015-06-10T04:59:00Z</cp:lastPrinted>
  <dcterms:created xsi:type="dcterms:W3CDTF">2015-04-29T00:14:00Z</dcterms:created>
  <dcterms:modified xsi:type="dcterms:W3CDTF">2015-06-10T04:59:00Z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impotence</vt:lpwstr>
  </property>
  <property fmtid="{D5CDD505-2E9C-101B-9397-08002B2CF9AE}" pid="3" name="Contention">
    <vt:lpwstr>blunt or penetrating trauma to the external genitals, perineum or pelvis</vt:lpwstr>
  </property>
  <property fmtid="{D5CDD505-2E9C-101B-9397-08002B2CF9AE}" pid="4" name="ReportType">
    <vt:lpwstr>Medical</vt:lpwstr>
  </property>
  <property fmtid="{D5CDD505-2E9C-101B-9397-08002B2CF9AE}" pid="5" name="LastModified">
    <vt:lpwstr>03/05/99</vt:lpwstr>
  </property>
  <property fmtid="{D5CDD505-2E9C-101B-9397-08002B2CF9AE}" pid="6" name="DocumentID">
    <vt:lpwstr>CSMA999MR9099 03/05/99</vt:lpwstr>
  </property>
  <property fmtid="{D5CDD505-2E9C-101B-9397-08002B2CF9AE}" pid="7" name="ReportNumber">
    <vt:lpwstr>9099</vt:lpwstr>
  </property>
  <property fmtid="{D5CDD505-2E9C-101B-9397-08002B2CF9AE}" pid="8" name="SOP">
    <vt:lpwstr>A999</vt:lpwstr>
  </property>
  <property fmtid="{D5CDD505-2E9C-101B-9397-08002B2CF9AE}" pid="9" name="DocumentName">
    <vt:lpwstr>MR9099</vt:lpwstr>
  </property>
</Properties>
</file>