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EC" w:rsidRDefault="006273EC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6273EC" w:rsidRDefault="006273EC">
      <w:pPr>
        <w:pStyle w:val="ReportTitle"/>
      </w:pPr>
      <w:bookmarkStart w:id="0" w:name="ReportType"/>
      <w:bookmarkStart w:id="1" w:name="DVAHead"/>
      <w:r>
        <w:t>Medical</w:t>
      </w:r>
      <w:bookmarkEnd w:id="0"/>
      <w:r>
        <w:t xml:space="preserve"> Report - Treatment with Ototoxic Drugs</w:t>
      </w:r>
    </w:p>
    <w:p w:rsidR="006273EC" w:rsidRDefault="006273EC">
      <w:pPr>
        <w:pStyle w:val="ReportTitle"/>
      </w:pPr>
    </w:p>
    <w:p w:rsidR="006273EC" w:rsidRDefault="006273EC">
      <w:pPr>
        <w:pStyle w:val="ReportPrivacy"/>
      </w:pPr>
      <w:bookmarkStart w:id="2" w:name="Disclaimer"/>
      <w:bookmarkEnd w:id="1"/>
      <w:r>
        <w:t xml:space="preserve">The information you provide on this form will assist in deciding eligibility for benefits under the Veterans' Entitlements Act </w:t>
      </w:r>
      <w:r w:rsidR="00AC6966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2"/>
    <w:p w:rsidR="006273EC" w:rsidRDefault="006273E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6273EC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6273EC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73EC" w:rsidRDefault="006273E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73EC" w:rsidRDefault="006273E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73EC" w:rsidRDefault="006273EC">
            <w:pPr>
              <w:pStyle w:val="ReportVeteran"/>
            </w:pPr>
          </w:p>
        </w:tc>
      </w:tr>
    </w:tbl>
    <w:p w:rsidR="006273EC" w:rsidRDefault="006273EC">
      <w:pPr>
        <w:pStyle w:val="ReportSection"/>
      </w:pPr>
      <w:r>
        <w:t>Report Detail</w:t>
      </w:r>
    </w:p>
    <w:p w:rsidR="006273EC" w:rsidRDefault="006273EC">
      <w:bookmarkStart w:id="3" w:name="StartHere"/>
      <w:bookmarkStart w:id="4" w:name="SignatureBlock"/>
      <w:bookmarkEnd w:id="3"/>
      <w:r>
        <w:t>A claim for service related compensation in respect of the above</w:t>
      </w:r>
      <w:r w:rsidR="004F6828">
        <w:t xml:space="preserve"> </w:t>
      </w:r>
      <w:r>
        <w:t>named leads the Department to consider whether treatment with ototoxic drugs could be relevant to the development of</w:t>
      </w:r>
      <w:r w:rsidR="00DA6C2D">
        <w:t xml:space="preserve"> (insert claimed condition) </w:t>
      </w:r>
      <w:r>
        <w:t>in this case. Would you please answer the following question:</w:t>
      </w:r>
    </w:p>
    <w:p w:rsidR="006273EC" w:rsidRDefault="006273EC">
      <w:pPr>
        <w:pStyle w:val="ReportQuestion"/>
      </w:pPr>
      <w:r>
        <w:t>1.</w:t>
      </w:r>
      <w:r>
        <w:tab/>
        <w:t xml:space="preserve">When was the clinical onset of </w:t>
      </w:r>
      <w:r w:rsidR="00DA6C2D">
        <w:t>(</w:t>
      </w:r>
      <w:r w:rsidR="003E6ECD">
        <w:t>______________________________</w:t>
      </w:r>
      <w:r w:rsidR="00DA6C2D">
        <w:t>)</w:t>
      </w:r>
      <w:r>
        <w:t>?………./………./……….</w:t>
      </w:r>
    </w:p>
    <w:p w:rsidR="006273EC" w:rsidRDefault="006273EC">
      <w:pPr>
        <w:pStyle w:val="ReportQuestion"/>
      </w:pPr>
      <w:r>
        <w:t>2.</w:t>
      </w:r>
      <w:r>
        <w:tab/>
        <w:t xml:space="preserve">Was the veteran being treated with any of the ototoxic drugs specified below within the year before the clinical onset of </w:t>
      </w:r>
      <w:r w:rsidR="00DA6C2D">
        <w:t>(</w:t>
      </w:r>
      <w:r w:rsidR="003E6ECD">
        <w:t>________________________________</w:t>
      </w:r>
      <w:r w:rsidR="00DA6C2D">
        <w:t>)</w:t>
      </w:r>
      <w:r>
        <w:t>?</w:t>
      </w:r>
    </w:p>
    <w:p w:rsidR="006273EC" w:rsidRDefault="006273E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6273EC" w:rsidRDefault="006273EC">
      <w:pPr>
        <w:pStyle w:val="ReportCheckboxhalf"/>
        <w:spacing w:after="240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give details of all periods of treatment with any of the following ototoxic drugs: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2912"/>
        <w:gridCol w:w="1683"/>
        <w:gridCol w:w="1683"/>
        <w:gridCol w:w="3225"/>
      </w:tblGrid>
      <w:tr w:rsidR="006273EC">
        <w:tc>
          <w:tcPr>
            <w:tcW w:w="3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</w:pPr>
            <w:r>
              <w:t>Aminoglycoside antibiotics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From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To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Condition treated</w:t>
            </w: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Gentamicin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Kanamycin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Neomycin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Amikacin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Streptomycin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Tobramycin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Vankomycin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Netilmicin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3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</w:pPr>
            <w:r>
              <w:t>Drugs used to treat tuberculosis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From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To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Condition treated</w:t>
            </w: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Viomycin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  <w:r>
              <w:t>Erythromycin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3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</w:pPr>
            <w:r>
              <w:t>Loop diuretics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From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To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Condition treated</w:t>
            </w: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Ethacrynic</w:t>
            </w:r>
            <w:proofErr w:type="spellEnd"/>
            <w:r>
              <w:t xml:space="preserve"> acid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lastRenderedPageBreak/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Frusemide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Bumetanide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3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</w:pPr>
            <w:r>
              <w:t>Drugs used in the treatment of cancer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From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To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Condition treated</w:t>
            </w: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Cisplatin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Nitrogen Mustard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 xml:space="preserve">6-amino </w:t>
            </w:r>
            <w:proofErr w:type="spellStart"/>
            <w:r>
              <w:t>nicotinamide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Vinblastine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Vincristine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misonidazole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  <w:r>
              <w:t>a-</w:t>
            </w:r>
            <w:proofErr w:type="spellStart"/>
            <w:r>
              <w:t>difluromethylornithine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</w:tbl>
    <w:p w:rsidR="006273EC" w:rsidRDefault="006273EC">
      <w:pPr>
        <w:pStyle w:val="ReportQuestion"/>
      </w:pPr>
      <w:r>
        <w:t>3.</w:t>
      </w:r>
      <w:r>
        <w:tab/>
        <w:t>Has the tinnitus permanently worsened at any time?</w:t>
      </w:r>
    </w:p>
    <w:p w:rsidR="006273EC" w:rsidRDefault="006273EC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6273EC" w:rsidRDefault="006273EC">
      <w:pPr>
        <w:pStyle w:val="ReportCheckboxhalf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Yes </w:t>
      </w:r>
      <w:r>
        <w:t>- Please indicate when this happened.</w:t>
      </w:r>
    </w:p>
    <w:p w:rsidR="006273EC" w:rsidRDefault="006273EC">
      <w:pPr>
        <w:pStyle w:val="ReportQuestion"/>
      </w:pPr>
      <w:r>
        <w:t>4.</w:t>
      </w:r>
      <w:r>
        <w:tab/>
        <w:t>Was the veteran being treated with any of the ototoxic drugs specified below within the year before the permanent worsening of</w:t>
      </w:r>
      <w:r w:rsidR="00573ABD">
        <w:t xml:space="preserve"> (insert claimed position)</w:t>
      </w:r>
      <w:r>
        <w:t>?</w:t>
      </w:r>
    </w:p>
    <w:p w:rsidR="006273EC" w:rsidRDefault="006273E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6273EC" w:rsidRDefault="006273EC">
      <w:pPr>
        <w:pStyle w:val="ReportCheckboxhalf"/>
        <w:spacing w:after="240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give details of all periods of treatment with any of the following ototoxic drugs: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2912"/>
        <w:gridCol w:w="1683"/>
        <w:gridCol w:w="1683"/>
        <w:gridCol w:w="3225"/>
      </w:tblGrid>
      <w:tr w:rsidR="006273EC">
        <w:tc>
          <w:tcPr>
            <w:tcW w:w="3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</w:pPr>
            <w:r>
              <w:t>Aminoglycoside antibiotics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From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To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Condition treated</w:t>
            </w: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Gentamicin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Kanamycin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Neomycin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Amikacin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Streptomycin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Tobramycin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Vankomycin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Netilmicin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3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</w:pPr>
            <w:r>
              <w:t>Drugs used to treat tuberculosis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From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To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Condition treated</w:t>
            </w: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Viomycin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  <w:r>
              <w:t>Erythromycin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3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</w:pPr>
            <w:r>
              <w:t>Loop diuretics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From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To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Condition treated</w:t>
            </w: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Ethacrynic</w:t>
            </w:r>
            <w:proofErr w:type="spellEnd"/>
            <w:r>
              <w:t xml:space="preserve"> acid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Frusemide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lastRenderedPageBreak/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Bumetanide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</w:tbl>
    <w:p w:rsidR="006273EC" w:rsidRDefault="006273E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2912"/>
        <w:gridCol w:w="1683"/>
        <w:gridCol w:w="1683"/>
        <w:gridCol w:w="3225"/>
      </w:tblGrid>
      <w:tr w:rsidR="006273EC">
        <w:tc>
          <w:tcPr>
            <w:tcW w:w="3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</w:pPr>
            <w:r>
              <w:t>Drugs used in the treatment of cancer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From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To</w:t>
            </w:r>
          </w:p>
        </w:tc>
        <w:tc>
          <w:tcPr>
            <w:tcW w:w="3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273EC" w:rsidRDefault="006273EC">
            <w:pPr>
              <w:spacing w:before="120"/>
              <w:jc w:val="center"/>
            </w:pPr>
            <w:r>
              <w:t>Condition treated</w:t>
            </w: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Cisplatin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Nitrogen Mustard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 xml:space="preserve">6-amino </w:t>
            </w:r>
            <w:proofErr w:type="spellStart"/>
            <w:r>
              <w:t>nicotinamide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Vinblastine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  <w:r>
              <w:t>Vincristine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  <w:tr w:rsidR="006273EC">
        <w:tc>
          <w:tcPr>
            <w:tcW w:w="4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73EC" w:rsidRDefault="006273EC">
            <w:pPr>
              <w:spacing w:before="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73EC" w:rsidRDefault="006273EC">
            <w:pPr>
              <w:spacing w:before="60"/>
            </w:pPr>
            <w:proofErr w:type="spellStart"/>
            <w:r>
              <w:t>misonidazole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73EC" w:rsidRDefault="006273EC">
            <w:pPr>
              <w:spacing w:before="60"/>
              <w:jc w:val="center"/>
            </w:pPr>
            <w:r>
              <w:t>/        /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273EC" w:rsidRDefault="006273EC">
            <w:pPr>
              <w:spacing w:before="60"/>
            </w:pPr>
          </w:p>
        </w:tc>
      </w:tr>
    </w:tbl>
    <w:p w:rsidR="006273EC" w:rsidRDefault="006273EC">
      <w:bookmarkStart w:id="5" w:name="_GoBack"/>
      <w:bookmarkEnd w:id="5"/>
    </w:p>
    <w:p w:rsidR="006273EC" w:rsidRDefault="006273EC"/>
    <w:p w:rsidR="006273EC" w:rsidRDefault="006273EC"/>
    <w:p w:rsidR="006273EC" w:rsidRDefault="006273EC">
      <w:pPr>
        <w:pStyle w:val="ReportSection"/>
        <w:framePr w:hSpace="181" w:wrap="notBeside" w:hAnchor="margin" w:yAlign="bottom"/>
        <w:spacing w:before="360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6273EC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</w:tr>
      <w:tr w:rsidR="006273EC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</w:tr>
      <w:tr w:rsidR="006273E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273E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</w:tr>
      <w:tr w:rsidR="006273E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</w:tr>
      <w:tr w:rsidR="006273E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73EC" w:rsidRDefault="006273E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73EC" w:rsidRDefault="006273EC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4"/>
    </w:tbl>
    <w:p w:rsidR="006273EC" w:rsidRDefault="006273EC"/>
    <w:sectPr w:rsidR="006273EC">
      <w:headerReference w:type="defaul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66" w:rsidRDefault="006E3266">
      <w:r>
        <w:separator/>
      </w:r>
    </w:p>
  </w:endnote>
  <w:endnote w:type="continuationSeparator" w:id="0">
    <w:p w:rsidR="006E3266" w:rsidRDefault="006E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B8AC0312-E62E-41F8-A83C-1FB6160E004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66" w:rsidRDefault="006E3266">
      <w:r>
        <w:separator/>
      </w:r>
    </w:p>
  </w:footnote>
  <w:footnote w:type="continuationSeparator" w:id="0">
    <w:p w:rsidR="006E3266" w:rsidRDefault="006E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EC" w:rsidRDefault="006273EC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EC"/>
    <w:rsid w:val="00024FD1"/>
    <w:rsid w:val="003E6ECD"/>
    <w:rsid w:val="004F6828"/>
    <w:rsid w:val="00573ABD"/>
    <w:rsid w:val="006273EC"/>
    <w:rsid w:val="006E3266"/>
    <w:rsid w:val="00811ACD"/>
    <w:rsid w:val="00AC6966"/>
    <w:rsid w:val="00D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8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  <w:style w:type="paragraph" w:customStyle="1" w:styleId="Halfbullet">
    <w:name w:val="Half bullet"/>
    <w:basedOn w:val="Normal"/>
    <w:pPr>
      <w:ind w:left="284" w:hanging="284"/>
    </w:pPr>
    <w:rPr>
      <w:sz w:val="20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Normalbullet">
    <w:name w:val="Normal bullet"/>
    <w:basedOn w:val="Normal"/>
    <w:next w:val="Halfbullet"/>
    <w:pPr>
      <w:spacing w:before="120"/>
      <w:ind w:left="283" w:hanging="283"/>
    </w:pPr>
  </w:style>
  <w:style w:type="paragraph" w:customStyle="1" w:styleId="Note">
    <w:name w:val="Note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/>
      <w:ind w:left="1134"/>
    </w:pPr>
  </w:style>
  <w:style w:type="paragraph" w:customStyle="1" w:styleId="Questiontext">
    <w:name w:val="Question text"/>
    <w:basedOn w:val="Normal"/>
    <w:next w:val="Normal"/>
    <w:pPr>
      <w:spacing w:before="120"/>
    </w:pPr>
    <w:rPr>
      <w:b/>
      <w:sz w:val="22"/>
    </w:rPr>
  </w:style>
  <w:style w:type="character" w:customStyle="1" w:styleId="Superscriptnote">
    <w:name w:val="Superscript note"/>
    <w:basedOn w:val="DefaultParagraphFont"/>
    <w:rPr>
      <w:sz w:val="18"/>
      <w:vertAlign w:val="superscript"/>
    </w:rPr>
  </w:style>
  <w:style w:type="paragraph" w:customStyle="1" w:styleId="zEPMarkerStyle">
    <w:name w:val="zEPMarkerStyle"/>
    <w:basedOn w:val="Normal"/>
    <w:next w:val="Normal"/>
    <w:pPr>
      <w:spacing w:before="120"/>
    </w:pPr>
    <w:rPr>
      <w:rFonts w:ascii="Arial" w:hAnsi="Arial"/>
      <w:vanish/>
      <w:color w:val="0000FF"/>
      <w:sz w:val="16"/>
    </w:rPr>
  </w:style>
  <w:style w:type="paragraph" w:customStyle="1" w:styleId="Factors">
    <w:name w:val="Factors"/>
    <w:basedOn w:val="Normal"/>
    <w:next w:val="Normal"/>
    <w:pPr>
      <w:spacing w:before="120"/>
    </w:pPr>
    <w:rPr>
      <w:b/>
      <w:i/>
    </w:rPr>
  </w:style>
  <w:style w:type="paragraph" w:customStyle="1" w:styleId="FormHeading">
    <w:name w:val="Form Heading"/>
    <w:basedOn w:val="Normal"/>
    <w:pPr>
      <w:tabs>
        <w:tab w:val="right" w:pos="8080"/>
      </w:tabs>
      <w:spacing w:before="120"/>
      <w:ind w:right="-58"/>
    </w:pPr>
    <w:rPr>
      <w:b/>
      <w:sz w:val="32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rule">
    <w:name w:val="rule"/>
    <w:basedOn w:val="Normal"/>
    <w:next w:val="Normal"/>
    <w:pPr>
      <w:spacing w:before="120"/>
      <w:ind w:left="567" w:hanging="567"/>
    </w:pPr>
  </w:style>
  <w:style w:type="paragraph" w:customStyle="1" w:styleId="Sub-heading">
    <w:name w:val="Sub-heading"/>
    <w:basedOn w:val="Normal"/>
    <w:pPr>
      <w:spacing w:before="120"/>
    </w:pPr>
    <w:rPr>
      <w:b/>
    </w:rPr>
  </w:style>
  <w:style w:type="paragraph" w:customStyle="1" w:styleId="Sub-question">
    <w:name w:val="Sub-question"/>
    <w:basedOn w:val="Normal"/>
    <w:pPr>
      <w:spacing w:before="120"/>
    </w:pPr>
  </w:style>
  <w:style w:type="paragraph" w:customStyle="1" w:styleId="sub-rule">
    <w:name w:val="sub-rule"/>
    <w:basedOn w:val="Normal"/>
    <w:next w:val="Normal"/>
    <w:pPr>
      <w:spacing w:before="120"/>
      <w:ind w:left="1134" w:hanging="567"/>
    </w:pPr>
  </w:style>
  <w:style w:type="paragraph" w:styleId="Title">
    <w:name w:val="Title"/>
    <w:basedOn w:val="Normal"/>
    <w:next w:val="Normal"/>
    <w:qFormat/>
    <w:pPr>
      <w:spacing w:before="240" w:after="60"/>
      <w:jc w:val="right"/>
    </w:pPr>
    <w:rPr>
      <w:b/>
      <w:sz w:val="40"/>
    </w:rPr>
  </w:style>
  <w:style w:type="paragraph" w:customStyle="1" w:styleId="NormalFirstBullet">
    <w:name w:val="NormalFirstBullet"/>
    <w:basedOn w:val="Normal"/>
    <w:next w:val="NormalSubsequentBullet"/>
    <w:pPr>
      <w:spacing w:before="120"/>
      <w:ind w:left="283" w:hanging="283"/>
    </w:pPr>
  </w:style>
  <w:style w:type="paragraph" w:customStyle="1" w:styleId="NormalSubsequentBullet">
    <w:name w:val="NormalSubsequentBullet"/>
    <w:basedOn w:val="NormalFirstBullet"/>
    <w:pPr>
      <w:spacing w:before="0"/>
    </w:pPr>
  </w:style>
  <w:style w:type="character" w:customStyle="1" w:styleId="zEPHotwordMarker">
    <w:name w:val="zEPHotwordMarker"/>
    <w:basedOn w:val="DefaultParagraphFont"/>
    <w:rPr>
      <w:rFonts w:ascii="Arial" w:hAnsi="Arial"/>
      <w:vanish/>
      <w:color w:val="0000FF"/>
      <w:sz w:val="16"/>
    </w:rPr>
  </w:style>
  <w:style w:type="character" w:customStyle="1" w:styleId="zEPHotwordText">
    <w:name w:val="zEPHotwordText"/>
    <w:basedOn w:val="DefaultParagraphFont"/>
    <w:rPr>
      <w:b/>
      <w:i/>
      <w:color w:val="008000"/>
      <w:u w:val="double"/>
    </w:rPr>
  </w:style>
  <w:style w:type="paragraph" w:customStyle="1" w:styleId="zEPMarkerPS">
    <w:name w:val="zEPMarkerPS"/>
    <w:basedOn w:val="Normal"/>
    <w:next w:val="Normal"/>
    <w:pPr>
      <w:spacing w:before="120"/>
    </w:pPr>
    <w:rPr>
      <w:rFonts w:ascii="Arial" w:hAnsi="Arial"/>
      <w:vanish/>
      <w:color w:val="0000FF"/>
      <w:sz w:val="16"/>
    </w:rPr>
  </w:style>
  <w:style w:type="paragraph" w:customStyle="1" w:styleId="Standardcommentaryheading">
    <w:name w:val="Standard commentary heading"/>
    <w:basedOn w:val="Normal"/>
    <w:next w:val="Normal"/>
    <w:pPr>
      <w:spacing w:before="120"/>
    </w:pPr>
    <w:rPr>
      <w:b/>
      <w:color w:val="800000"/>
      <w:sz w:val="30"/>
    </w:rPr>
  </w:style>
  <w:style w:type="paragraph" w:customStyle="1" w:styleId="QuestionPS">
    <w:name w:val="QuestionPS"/>
    <w:basedOn w:val="Normal"/>
    <w:next w:val="Normal"/>
    <w:pPr>
      <w:spacing w:before="120"/>
    </w:pPr>
    <w:rPr>
      <w:b/>
      <w:sz w:val="22"/>
    </w:rPr>
  </w:style>
  <w:style w:type="paragraph" w:customStyle="1" w:styleId="TitlePS">
    <w:name w:val="TitlePS"/>
    <w:basedOn w:val="Normal"/>
    <w:next w:val="Heading1"/>
    <w:pPr>
      <w:spacing w:before="240" w:after="60"/>
      <w:jc w:val="right"/>
    </w:pPr>
    <w:rPr>
      <w:b/>
      <w:sz w:val="40"/>
    </w:rPr>
  </w:style>
  <w:style w:type="paragraph" w:customStyle="1" w:styleId="NodePropertiesPS">
    <w:name w:val="NodePropertiesPS"/>
    <w:basedOn w:val="Normal"/>
    <w:next w:val="Normal"/>
    <w:pPr>
      <w:spacing w:before="120"/>
    </w:pPr>
    <w:rPr>
      <w:rFonts w:ascii="Verdana" w:hAnsi="Verdana"/>
      <w:color w:val="000000"/>
      <w:sz w:val="16"/>
    </w:rPr>
  </w:style>
  <w:style w:type="paragraph" w:customStyle="1" w:styleId="LinksList1stPS">
    <w:name w:val="LinksList1stPS"/>
    <w:basedOn w:val="Normal"/>
    <w:next w:val="Normal"/>
    <w:pPr>
      <w:spacing w:before="120"/>
      <w:ind w:left="567" w:hanging="567"/>
    </w:pPr>
    <w:rPr>
      <w:rFonts w:ascii="Verdana" w:hAnsi="Verdana"/>
      <w:color w:val="000000"/>
      <w:sz w:val="16"/>
    </w:rPr>
  </w:style>
  <w:style w:type="paragraph" w:customStyle="1" w:styleId="LinksListPS">
    <w:name w:val="LinksListPS"/>
    <w:basedOn w:val="LinksList1stPS"/>
    <w:next w:val="Normal"/>
    <w:pPr>
      <w:spacing w:before="0"/>
    </w:pPr>
  </w:style>
  <w:style w:type="paragraph" w:customStyle="1" w:styleId="NormalIndent2">
    <w:name w:val="Normal Indent2"/>
    <w:basedOn w:val="Normal"/>
    <w:pPr>
      <w:spacing w:line="240" w:lineRule="atLeast"/>
      <w:ind w:left="720"/>
      <w:jc w:val="both"/>
    </w:pPr>
    <w:rPr>
      <w:sz w:val="26"/>
      <w:lang w:val="en-GB"/>
    </w:rPr>
  </w:style>
  <w:style w:type="paragraph" w:customStyle="1" w:styleId="NormalIndent1">
    <w:name w:val="Normal Indent1"/>
    <w:basedOn w:val="Normal"/>
    <w:next w:val="Normal"/>
    <w:pPr>
      <w:spacing w:line="240" w:lineRule="atLeast"/>
      <w:ind w:left="720"/>
      <w:jc w:val="both"/>
    </w:pPr>
    <w:rPr>
      <w:sz w:val="26"/>
      <w:lang w:val="en-GB"/>
    </w:rPr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jc w:val="center"/>
    </w:pPr>
    <w:rPr>
      <w:sz w:val="20"/>
      <w:lang w:val="en-GB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jc w:val="both"/>
    </w:pPr>
    <w:rPr>
      <w:rFonts w:ascii="Bookman" w:hAnsi="Bookman"/>
      <w:sz w:val="26"/>
      <w:lang w:val="en-GB"/>
    </w:rPr>
  </w:style>
  <w:style w:type="paragraph" w:customStyle="1" w:styleId="GD">
    <w:name w:val="GD"/>
    <w:basedOn w:val="Normal"/>
    <w:pPr>
      <w:jc w:val="both"/>
    </w:pPr>
    <w:rPr>
      <w:sz w:val="26"/>
      <w:lang w:val="en-GB"/>
    </w:r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480" w:line="240" w:lineRule="atLeast"/>
      <w:jc w:val="center"/>
    </w:pPr>
    <w:rPr>
      <w:rFonts w:ascii="Helvetica" w:hAnsi="Helvetica"/>
      <w:sz w:val="32"/>
      <w:lang w:val="en-GB"/>
    </w:rPr>
  </w:style>
  <w:style w:type="paragraph" w:customStyle="1" w:styleId="sop">
    <w:name w:val="sop"/>
    <w:basedOn w:val="Normal"/>
    <w:pPr>
      <w:spacing w:before="240" w:after="240" w:line="240" w:lineRule="atLeast"/>
      <w:jc w:val="center"/>
    </w:pPr>
    <w:rPr>
      <w:rFonts w:ascii="Helvetica" w:hAnsi="Helvetica"/>
      <w:sz w:val="40"/>
      <w:lang w:val="en-GB"/>
    </w:rPr>
  </w:style>
  <w:style w:type="paragraph" w:customStyle="1" w:styleId="ICD">
    <w:name w:val="ICD"/>
    <w:basedOn w:val="Normal"/>
    <w:pPr>
      <w:spacing w:before="240" w:after="240" w:line="240" w:lineRule="atLeast"/>
      <w:jc w:val="center"/>
    </w:pPr>
    <w:rPr>
      <w:rFonts w:ascii="Helvetica" w:hAnsi="Helvetica"/>
      <w:caps/>
      <w:lang w:val="en-GB"/>
    </w:rPr>
  </w:style>
  <w:style w:type="paragraph" w:customStyle="1" w:styleId="concerning">
    <w:name w:val="concerning"/>
    <w:basedOn w:val="Normal"/>
    <w:pPr>
      <w:spacing w:line="240" w:lineRule="atLeast"/>
      <w:jc w:val="center"/>
    </w:pPr>
    <w:rPr>
      <w:rFonts w:ascii="Helvetica" w:hAnsi="Helvetica"/>
      <w:sz w:val="28"/>
      <w:lang w:val="en-GB"/>
    </w:rPr>
  </w:style>
  <w:style w:type="paragraph" w:customStyle="1" w:styleId="vea">
    <w:name w:val="vea"/>
    <w:basedOn w:val="Normal"/>
    <w:pPr>
      <w:spacing w:after="720" w:line="240" w:lineRule="atLeast"/>
      <w:jc w:val="center"/>
    </w:pPr>
    <w:rPr>
      <w:sz w:val="32"/>
      <w:lang w:val="en-GB"/>
    </w:rPr>
  </w:style>
  <w:style w:type="paragraph" w:customStyle="1" w:styleId="clauseheading">
    <w:name w:val="clause heading"/>
    <w:basedOn w:val="Normal"/>
    <w:pPr>
      <w:keepNext/>
      <w:spacing w:after="120"/>
      <w:jc w:val="both"/>
    </w:pPr>
    <w:rPr>
      <w:rFonts w:ascii="CG Times (W1)" w:hAnsi="CG Times (W1)"/>
      <w:b/>
      <w:sz w:val="28"/>
    </w:rPr>
  </w:style>
  <w:style w:type="paragraph" w:customStyle="1" w:styleId="LogoHeader">
    <w:name w:val="LogoHeader"/>
    <w:basedOn w:val="Normal"/>
    <w:pPr>
      <w:keepLines/>
    </w:pPr>
    <w:rPr>
      <w:rFonts w:ascii="Arial" w:hAnsi="Arial"/>
      <w:lang w:val="en-GB"/>
    </w:rPr>
  </w:style>
  <w:style w:type="paragraph" w:styleId="BodyText">
    <w:name w:val="Body Text"/>
    <w:basedOn w:val="Normal"/>
    <w:pPr>
      <w:spacing w:before="12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8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  <w:style w:type="paragraph" w:customStyle="1" w:styleId="Halfbullet">
    <w:name w:val="Half bullet"/>
    <w:basedOn w:val="Normal"/>
    <w:pPr>
      <w:ind w:left="284" w:hanging="284"/>
    </w:pPr>
    <w:rPr>
      <w:sz w:val="20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Normalbullet">
    <w:name w:val="Normal bullet"/>
    <w:basedOn w:val="Normal"/>
    <w:next w:val="Halfbullet"/>
    <w:pPr>
      <w:spacing w:before="120"/>
      <w:ind w:left="283" w:hanging="283"/>
    </w:pPr>
  </w:style>
  <w:style w:type="paragraph" w:customStyle="1" w:styleId="Note">
    <w:name w:val="Note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/>
      <w:ind w:left="1134"/>
    </w:pPr>
  </w:style>
  <w:style w:type="paragraph" w:customStyle="1" w:styleId="Questiontext">
    <w:name w:val="Question text"/>
    <w:basedOn w:val="Normal"/>
    <w:next w:val="Normal"/>
    <w:pPr>
      <w:spacing w:before="120"/>
    </w:pPr>
    <w:rPr>
      <w:b/>
      <w:sz w:val="22"/>
    </w:rPr>
  </w:style>
  <w:style w:type="character" w:customStyle="1" w:styleId="Superscriptnote">
    <w:name w:val="Superscript note"/>
    <w:basedOn w:val="DefaultParagraphFont"/>
    <w:rPr>
      <w:sz w:val="18"/>
      <w:vertAlign w:val="superscript"/>
    </w:rPr>
  </w:style>
  <w:style w:type="paragraph" w:customStyle="1" w:styleId="zEPMarkerStyle">
    <w:name w:val="zEPMarkerStyle"/>
    <w:basedOn w:val="Normal"/>
    <w:next w:val="Normal"/>
    <w:pPr>
      <w:spacing w:before="120"/>
    </w:pPr>
    <w:rPr>
      <w:rFonts w:ascii="Arial" w:hAnsi="Arial"/>
      <w:vanish/>
      <w:color w:val="0000FF"/>
      <w:sz w:val="16"/>
    </w:rPr>
  </w:style>
  <w:style w:type="paragraph" w:customStyle="1" w:styleId="Factors">
    <w:name w:val="Factors"/>
    <w:basedOn w:val="Normal"/>
    <w:next w:val="Normal"/>
    <w:pPr>
      <w:spacing w:before="120"/>
    </w:pPr>
    <w:rPr>
      <w:b/>
      <w:i/>
    </w:rPr>
  </w:style>
  <w:style w:type="paragraph" w:customStyle="1" w:styleId="FormHeading">
    <w:name w:val="Form Heading"/>
    <w:basedOn w:val="Normal"/>
    <w:pPr>
      <w:tabs>
        <w:tab w:val="right" w:pos="8080"/>
      </w:tabs>
      <w:spacing w:before="120"/>
      <w:ind w:right="-58"/>
    </w:pPr>
    <w:rPr>
      <w:b/>
      <w:sz w:val="32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rule">
    <w:name w:val="rule"/>
    <w:basedOn w:val="Normal"/>
    <w:next w:val="Normal"/>
    <w:pPr>
      <w:spacing w:before="120"/>
      <w:ind w:left="567" w:hanging="567"/>
    </w:pPr>
  </w:style>
  <w:style w:type="paragraph" w:customStyle="1" w:styleId="Sub-heading">
    <w:name w:val="Sub-heading"/>
    <w:basedOn w:val="Normal"/>
    <w:pPr>
      <w:spacing w:before="120"/>
    </w:pPr>
    <w:rPr>
      <w:b/>
    </w:rPr>
  </w:style>
  <w:style w:type="paragraph" w:customStyle="1" w:styleId="Sub-question">
    <w:name w:val="Sub-question"/>
    <w:basedOn w:val="Normal"/>
    <w:pPr>
      <w:spacing w:before="120"/>
    </w:pPr>
  </w:style>
  <w:style w:type="paragraph" w:customStyle="1" w:styleId="sub-rule">
    <w:name w:val="sub-rule"/>
    <w:basedOn w:val="Normal"/>
    <w:next w:val="Normal"/>
    <w:pPr>
      <w:spacing w:before="120"/>
      <w:ind w:left="1134" w:hanging="567"/>
    </w:pPr>
  </w:style>
  <w:style w:type="paragraph" w:styleId="Title">
    <w:name w:val="Title"/>
    <w:basedOn w:val="Normal"/>
    <w:next w:val="Normal"/>
    <w:qFormat/>
    <w:pPr>
      <w:spacing w:before="240" w:after="60"/>
      <w:jc w:val="right"/>
    </w:pPr>
    <w:rPr>
      <w:b/>
      <w:sz w:val="40"/>
    </w:rPr>
  </w:style>
  <w:style w:type="paragraph" w:customStyle="1" w:styleId="NormalFirstBullet">
    <w:name w:val="NormalFirstBullet"/>
    <w:basedOn w:val="Normal"/>
    <w:next w:val="NormalSubsequentBullet"/>
    <w:pPr>
      <w:spacing w:before="120"/>
      <w:ind w:left="283" w:hanging="283"/>
    </w:pPr>
  </w:style>
  <w:style w:type="paragraph" w:customStyle="1" w:styleId="NormalSubsequentBullet">
    <w:name w:val="NormalSubsequentBullet"/>
    <w:basedOn w:val="NormalFirstBullet"/>
    <w:pPr>
      <w:spacing w:before="0"/>
    </w:pPr>
  </w:style>
  <w:style w:type="character" w:customStyle="1" w:styleId="zEPHotwordMarker">
    <w:name w:val="zEPHotwordMarker"/>
    <w:basedOn w:val="DefaultParagraphFont"/>
    <w:rPr>
      <w:rFonts w:ascii="Arial" w:hAnsi="Arial"/>
      <w:vanish/>
      <w:color w:val="0000FF"/>
      <w:sz w:val="16"/>
    </w:rPr>
  </w:style>
  <w:style w:type="character" w:customStyle="1" w:styleId="zEPHotwordText">
    <w:name w:val="zEPHotwordText"/>
    <w:basedOn w:val="DefaultParagraphFont"/>
    <w:rPr>
      <w:b/>
      <w:i/>
      <w:color w:val="008000"/>
      <w:u w:val="double"/>
    </w:rPr>
  </w:style>
  <w:style w:type="paragraph" w:customStyle="1" w:styleId="zEPMarkerPS">
    <w:name w:val="zEPMarkerPS"/>
    <w:basedOn w:val="Normal"/>
    <w:next w:val="Normal"/>
    <w:pPr>
      <w:spacing w:before="120"/>
    </w:pPr>
    <w:rPr>
      <w:rFonts w:ascii="Arial" w:hAnsi="Arial"/>
      <w:vanish/>
      <w:color w:val="0000FF"/>
      <w:sz w:val="16"/>
    </w:rPr>
  </w:style>
  <w:style w:type="paragraph" w:customStyle="1" w:styleId="Standardcommentaryheading">
    <w:name w:val="Standard commentary heading"/>
    <w:basedOn w:val="Normal"/>
    <w:next w:val="Normal"/>
    <w:pPr>
      <w:spacing w:before="120"/>
    </w:pPr>
    <w:rPr>
      <w:b/>
      <w:color w:val="800000"/>
      <w:sz w:val="30"/>
    </w:rPr>
  </w:style>
  <w:style w:type="paragraph" w:customStyle="1" w:styleId="QuestionPS">
    <w:name w:val="QuestionPS"/>
    <w:basedOn w:val="Normal"/>
    <w:next w:val="Normal"/>
    <w:pPr>
      <w:spacing w:before="120"/>
    </w:pPr>
    <w:rPr>
      <w:b/>
      <w:sz w:val="22"/>
    </w:rPr>
  </w:style>
  <w:style w:type="paragraph" w:customStyle="1" w:styleId="TitlePS">
    <w:name w:val="TitlePS"/>
    <w:basedOn w:val="Normal"/>
    <w:next w:val="Heading1"/>
    <w:pPr>
      <w:spacing w:before="240" w:after="60"/>
      <w:jc w:val="right"/>
    </w:pPr>
    <w:rPr>
      <w:b/>
      <w:sz w:val="40"/>
    </w:rPr>
  </w:style>
  <w:style w:type="paragraph" w:customStyle="1" w:styleId="NodePropertiesPS">
    <w:name w:val="NodePropertiesPS"/>
    <w:basedOn w:val="Normal"/>
    <w:next w:val="Normal"/>
    <w:pPr>
      <w:spacing w:before="120"/>
    </w:pPr>
    <w:rPr>
      <w:rFonts w:ascii="Verdana" w:hAnsi="Verdana"/>
      <w:color w:val="000000"/>
      <w:sz w:val="16"/>
    </w:rPr>
  </w:style>
  <w:style w:type="paragraph" w:customStyle="1" w:styleId="LinksList1stPS">
    <w:name w:val="LinksList1stPS"/>
    <w:basedOn w:val="Normal"/>
    <w:next w:val="Normal"/>
    <w:pPr>
      <w:spacing w:before="120"/>
      <w:ind w:left="567" w:hanging="567"/>
    </w:pPr>
    <w:rPr>
      <w:rFonts w:ascii="Verdana" w:hAnsi="Verdana"/>
      <w:color w:val="000000"/>
      <w:sz w:val="16"/>
    </w:rPr>
  </w:style>
  <w:style w:type="paragraph" w:customStyle="1" w:styleId="LinksListPS">
    <w:name w:val="LinksListPS"/>
    <w:basedOn w:val="LinksList1stPS"/>
    <w:next w:val="Normal"/>
    <w:pPr>
      <w:spacing w:before="0"/>
    </w:pPr>
  </w:style>
  <w:style w:type="paragraph" w:customStyle="1" w:styleId="NormalIndent2">
    <w:name w:val="Normal Indent2"/>
    <w:basedOn w:val="Normal"/>
    <w:pPr>
      <w:spacing w:line="240" w:lineRule="atLeast"/>
      <w:ind w:left="720"/>
      <w:jc w:val="both"/>
    </w:pPr>
    <w:rPr>
      <w:sz w:val="26"/>
      <w:lang w:val="en-GB"/>
    </w:rPr>
  </w:style>
  <w:style w:type="paragraph" w:customStyle="1" w:styleId="NormalIndent1">
    <w:name w:val="Normal Indent1"/>
    <w:basedOn w:val="Normal"/>
    <w:next w:val="Normal"/>
    <w:pPr>
      <w:spacing w:line="240" w:lineRule="atLeast"/>
      <w:ind w:left="720"/>
      <w:jc w:val="both"/>
    </w:pPr>
    <w:rPr>
      <w:sz w:val="26"/>
      <w:lang w:val="en-GB"/>
    </w:rPr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jc w:val="center"/>
    </w:pPr>
    <w:rPr>
      <w:sz w:val="20"/>
      <w:lang w:val="en-GB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jc w:val="both"/>
    </w:pPr>
    <w:rPr>
      <w:rFonts w:ascii="Bookman" w:hAnsi="Bookman"/>
      <w:sz w:val="26"/>
      <w:lang w:val="en-GB"/>
    </w:rPr>
  </w:style>
  <w:style w:type="paragraph" w:customStyle="1" w:styleId="GD">
    <w:name w:val="GD"/>
    <w:basedOn w:val="Normal"/>
    <w:pPr>
      <w:jc w:val="both"/>
    </w:pPr>
    <w:rPr>
      <w:sz w:val="26"/>
      <w:lang w:val="en-GB"/>
    </w:r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480" w:line="240" w:lineRule="atLeast"/>
      <w:jc w:val="center"/>
    </w:pPr>
    <w:rPr>
      <w:rFonts w:ascii="Helvetica" w:hAnsi="Helvetica"/>
      <w:sz w:val="32"/>
      <w:lang w:val="en-GB"/>
    </w:rPr>
  </w:style>
  <w:style w:type="paragraph" w:customStyle="1" w:styleId="sop">
    <w:name w:val="sop"/>
    <w:basedOn w:val="Normal"/>
    <w:pPr>
      <w:spacing w:before="240" w:after="240" w:line="240" w:lineRule="atLeast"/>
      <w:jc w:val="center"/>
    </w:pPr>
    <w:rPr>
      <w:rFonts w:ascii="Helvetica" w:hAnsi="Helvetica"/>
      <w:sz w:val="40"/>
      <w:lang w:val="en-GB"/>
    </w:rPr>
  </w:style>
  <w:style w:type="paragraph" w:customStyle="1" w:styleId="ICD">
    <w:name w:val="ICD"/>
    <w:basedOn w:val="Normal"/>
    <w:pPr>
      <w:spacing w:before="240" w:after="240" w:line="240" w:lineRule="atLeast"/>
      <w:jc w:val="center"/>
    </w:pPr>
    <w:rPr>
      <w:rFonts w:ascii="Helvetica" w:hAnsi="Helvetica"/>
      <w:caps/>
      <w:lang w:val="en-GB"/>
    </w:rPr>
  </w:style>
  <w:style w:type="paragraph" w:customStyle="1" w:styleId="concerning">
    <w:name w:val="concerning"/>
    <w:basedOn w:val="Normal"/>
    <w:pPr>
      <w:spacing w:line="240" w:lineRule="atLeast"/>
      <w:jc w:val="center"/>
    </w:pPr>
    <w:rPr>
      <w:rFonts w:ascii="Helvetica" w:hAnsi="Helvetica"/>
      <w:sz w:val="28"/>
      <w:lang w:val="en-GB"/>
    </w:rPr>
  </w:style>
  <w:style w:type="paragraph" w:customStyle="1" w:styleId="vea">
    <w:name w:val="vea"/>
    <w:basedOn w:val="Normal"/>
    <w:pPr>
      <w:spacing w:after="720" w:line="240" w:lineRule="atLeast"/>
      <w:jc w:val="center"/>
    </w:pPr>
    <w:rPr>
      <w:sz w:val="32"/>
      <w:lang w:val="en-GB"/>
    </w:rPr>
  </w:style>
  <w:style w:type="paragraph" w:customStyle="1" w:styleId="clauseheading">
    <w:name w:val="clause heading"/>
    <w:basedOn w:val="Normal"/>
    <w:pPr>
      <w:keepNext/>
      <w:spacing w:after="120"/>
      <w:jc w:val="both"/>
    </w:pPr>
    <w:rPr>
      <w:rFonts w:ascii="CG Times (W1)" w:hAnsi="CG Times (W1)"/>
      <w:b/>
      <w:sz w:val="28"/>
    </w:rPr>
  </w:style>
  <w:style w:type="paragraph" w:customStyle="1" w:styleId="LogoHeader">
    <w:name w:val="LogoHeader"/>
    <w:basedOn w:val="Normal"/>
    <w:pPr>
      <w:keepLines/>
    </w:pPr>
    <w:rPr>
      <w:rFonts w:ascii="Arial" w:hAnsi="Arial"/>
      <w:lang w:val="en-GB"/>
    </w:rPr>
  </w:style>
  <w:style w:type="paragraph" w:styleId="BodyText">
    <w:name w:val="Body Text"/>
    <w:basedOn w:val="Normal"/>
    <w:pPr>
      <w:spacing w:before="1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9</TotalTime>
  <Pages>3</Pages>
  <Words>574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CVA Questionnaire - Medical factors</vt:lpstr>
    </vt:vector>
  </TitlesOfParts>
  <Company>SoftLaw Corporation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CVA Questionnaire - Medical factors</dc:title>
  <dc:creator>Sven Bluemmel</dc:creator>
  <cp:lastModifiedBy>CMANGN</cp:lastModifiedBy>
  <cp:revision>7</cp:revision>
  <cp:lastPrinted>2015-06-09T04:02:00Z</cp:lastPrinted>
  <dcterms:created xsi:type="dcterms:W3CDTF">2015-04-27T01:32:00Z</dcterms:created>
  <dcterms:modified xsi:type="dcterms:W3CDTF">2015-06-09T04:02:00Z</dcterms:modified>
</cp:coreProperties>
</file>