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1B82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321B82">
      <w:pPr>
        <w:pStyle w:val="ReportTitle"/>
      </w:pPr>
      <w:bookmarkStart w:id="1" w:name="QuestionnaireTitle"/>
      <w:r>
        <w:t xml:space="preserve">Claimant Report - </w:t>
      </w:r>
      <w:bookmarkStart w:id="2" w:name="Contention"/>
      <w:bookmarkEnd w:id="2"/>
      <w:r>
        <w:t xml:space="preserve">Exposure to </w:t>
      </w:r>
      <w:proofErr w:type="spellStart"/>
      <w:r>
        <w:t>Tetrachloroethylene</w:t>
      </w:r>
      <w:proofErr w:type="spellEnd"/>
      <w:r>
        <w:br/>
        <w:t>or Dry Cleaning Solvents</w:t>
      </w:r>
      <w:bookmarkEnd w:id="1"/>
    </w:p>
    <w:p w:rsidR="00000000" w:rsidRDefault="00321B82">
      <w:pPr>
        <w:pStyle w:val="ReportTitle"/>
      </w:pPr>
      <w:bookmarkStart w:id="3" w:name="Condition"/>
      <w:bookmarkStart w:id="4" w:name="QuestionnaireCondition"/>
      <w:bookmarkEnd w:id="3"/>
      <w:r>
        <w:t>Malignant Neoplasm of the Bladder</w:t>
      </w:r>
      <w:bookmarkEnd w:id="4"/>
    </w:p>
    <w:p w:rsidR="00000000" w:rsidRDefault="00321B82">
      <w:pPr>
        <w:pStyle w:val="ReportPrivacy"/>
      </w:pPr>
      <w:bookmarkStart w:id="5" w:name="Disclaimer"/>
      <w:bookmarkEnd w:id="0"/>
      <w:r>
        <w:t>This form is in connection with your claim for pension and medical treatment and the information you supply will assist in deciding eligibi</w:t>
      </w:r>
      <w:r>
        <w:t>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5"/>
    <w:p w:rsidR="00000000" w:rsidRDefault="00321B82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B8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B82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1B82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1B82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1B82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1B8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1B82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1B8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1B82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1B82">
            <w:pPr>
              <w:pStyle w:val="ReportVeteran"/>
            </w:pPr>
            <w:bookmarkStart w:id="6" w:name="_GoBack"/>
            <w:bookmarkEnd w:id="6"/>
          </w:p>
        </w:tc>
      </w:tr>
    </w:tbl>
    <w:p w:rsidR="00000000" w:rsidRDefault="00321B82">
      <w:pPr>
        <w:pStyle w:val="ReportSection"/>
      </w:pPr>
      <w:r>
        <w:t>Report Detail</w:t>
      </w:r>
    </w:p>
    <w:p w:rsidR="00000000" w:rsidRDefault="00321B82">
      <w:pPr>
        <w:spacing w:before="120" w:after="240"/>
        <w:ind w:left="720" w:hanging="720"/>
        <w:rPr>
          <w:i/>
        </w:rPr>
      </w:pPr>
      <w:bookmarkStart w:id="7" w:name="ReportBody"/>
      <w:bookmarkStart w:id="8" w:name="Preamble"/>
      <w:bookmarkEnd w:id="7"/>
      <w:bookmarkEnd w:id="8"/>
      <w:r>
        <w:t>1.</w:t>
      </w:r>
      <w:r>
        <w:tab/>
        <w:t xml:space="preserve">When were symptoms of malignant neoplasm of the bladder first noticed? </w:t>
      </w:r>
      <w:r>
        <w:rPr>
          <w:i/>
        </w:rPr>
        <w:t>(Please be as specific as p</w:t>
      </w:r>
      <w:r>
        <w:rPr>
          <w:i/>
        </w:rPr>
        <w:t>ossible)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6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spacing w:before="24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spacing w:before="240"/>
              <w:rPr>
                <w:sz w:val="20"/>
              </w:rPr>
            </w:pPr>
          </w:p>
        </w:tc>
      </w:tr>
    </w:tbl>
    <w:p w:rsidR="00000000" w:rsidRDefault="00321B82">
      <w:pPr>
        <w:spacing w:before="240" w:after="120"/>
      </w:pPr>
      <w:proofErr w:type="spellStart"/>
      <w:r>
        <w:rPr>
          <w:b/>
        </w:rPr>
        <w:t>Tetrachloroethylene</w:t>
      </w:r>
      <w:proofErr w:type="spellEnd"/>
      <w:r>
        <w:t xml:space="preserve"> is used mainly in the dry cleaning industry but is also used in car care products, and in the textile, printing and film industries.  It is commonly know as </w:t>
      </w:r>
      <w:proofErr w:type="spellStart"/>
      <w:r>
        <w:t>perchloroethylene</w:t>
      </w:r>
      <w:proofErr w:type="spellEnd"/>
      <w:r>
        <w:t xml:space="preserve"> or '</w:t>
      </w:r>
      <w:proofErr w:type="spellStart"/>
      <w:r>
        <w:t>perc</w:t>
      </w:r>
      <w:proofErr w:type="spellEnd"/>
      <w:r>
        <w:t>'.</w:t>
      </w:r>
    </w:p>
    <w:p w:rsidR="00000000" w:rsidRDefault="00321B82">
      <w:pPr>
        <w:rPr>
          <w:b/>
        </w:rPr>
      </w:pPr>
      <w:r>
        <w:rPr>
          <w:b/>
        </w:rPr>
        <w:t>Other dry cleaning solvents</w:t>
      </w:r>
    </w:p>
    <w:p w:rsidR="00000000" w:rsidRDefault="00321B82">
      <w:pPr>
        <w:spacing w:before="240"/>
      </w:pPr>
      <w:r>
        <w:t>Dry cleaning solvents dissolve oils and fats that are not water soluble. Apart from '</w:t>
      </w:r>
      <w:proofErr w:type="spellStart"/>
      <w:r>
        <w:t>perc</w:t>
      </w:r>
      <w:proofErr w:type="spellEnd"/>
      <w:r>
        <w:t>', petroleum hydrocarbons, such as white spirits, are commonly used in dry cleaning.  Solvents have many uses besides dry cleaning, these include degreasing, fire retardation a</w:t>
      </w:r>
      <w:r>
        <w:t>nd pesticides, for example carbon tetrachloride.</w:t>
      </w:r>
    </w:p>
    <w:p w:rsidR="00000000" w:rsidRDefault="00321B82">
      <w:pPr>
        <w:spacing w:before="240" w:after="240"/>
        <w:ind w:left="720" w:hanging="720"/>
      </w:pPr>
      <w:r>
        <w:t>2.</w:t>
      </w:r>
      <w:r>
        <w:tab/>
        <w:t xml:space="preserve">Has there been inhalation or skin contact with </w:t>
      </w:r>
      <w:proofErr w:type="spellStart"/>
      <w:r>
        <w:t>tetrachloroethylene</w:t>
      </w:r>
      <w:proofErr w:type="spellEnd"/>
      <w:r>
        <w:t xml:space="preserve"> or dry cleaning solvents for a cumulative period of at least 5,000 hours?</w:t>
      </w:r>
    </w:p>
    <w:p w:rsidR="00000000" w:rsidRDefault="00321B82">
      <w:pPr>
        <w:ind w:left="1440" w:hanging="720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321B82">
      <w:pPr>
        <w:spacing w:after="120"/>
        <w:ind w:left="1440" w:hanging="72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 xml:space="preserve">Please provide details of all </w:t>
      </w:r>
      <w:r>
        <w:rPr>
          <w:b/>
        </w:rPr>
        <w:t>service and non-service</w:t>
      </w:r>
      <w:r>
        <w:t xml:space="preserve"> inhalation or skin contact in the table overleaf, being as specific as possible:</w:t>
      </w:r>
    </w:p>
    <w:p w:rsidR="00000000" w:rsidRDefault="00321B82">
      <w:pPr>
        <w:spacing w:after="240"/>
        <w:rPr>
          <w:b/>
        </w:rPr>
      </w:pPr>
      <w:r>
        <w:br w:type="page"/>
      </w:r>
      <w:r>
        <w:rPr>
          <w:b/>
        </w:rPr>
        <w:lastRenderedPageBreak/>
        <w:t xml:space="preserve">Inhalation or skin contact with </w:t>
      </w:r>
      <w:proofErr w:type="spellStart"/>
      <w:r>
        <w:rPr>
          <w:b/>
        </w:rPr>
        <w:t>tetrachloroethylene</w:t>
      </w:r>
      <w:proofErr w:type="spellEnd"/>
      <w:r>
        <w:rPr>
          <w:b/>
        </w:rPr>
        <w:t xml:space="preserve"> or dry cleaning solvents:</w:t>
      </w:r>
    </w:p>
    <w:tbl>
      <w:tblPr>
        <w:tblW w:w="0" w:type="auto"/>
        <w:jc w:val="center"/>
        <w:tblBorders>
          <w:top w:val="single" w:sz="12" w:space="0" w:color="808080"/>
          <w:left w:val="single" w:sz="12" w:space="0" w:color="C0C0C0"/>
          <w:bottom w:val="single" w:sz="12" w:space="0" w:color="80808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12" w:space="0" w:color="80808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321B82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Dates of inhalation or skin contact w</w:t>
            </w:r>
            <w:r>
              <w:rPr>
                <w:b/>
              </w:rPr>
              <w:t xml:space="preserve">ith </w:t>
            </w:r>
            <w:proofErr w:type="spellStart"/>
            <w:r>
              <w:rPr>
                <w:b/>
              </w:rPr>
              <w:t>tetrachloroethylene</w:t>
            </w:r>
            <w:proofErr w:type="spellEnd"/>
            <w:r>
              <w:rPr>
                <w:b/>
              </w:rPr>
              <w:t xml:space="preserve"> or dry cleaning solvents</w:t>
            </w:r>
          </w:p>
        </w:tc>
        <w:tc>
          <w:tcPr>
            <w:tcW w:w="4536" w:type="dxa"/>
            <w:tcBorders>
              <w:top w:val="single" w:sz="12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auto" w:fill="auto"/>
          </w:tcPr>
          <w:p w:rsidR="00000000" w:rsidRDefault="00321B82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Description of how this exposure to </w:t>
            </w:r>
            <w:proofErr w:type="spellStart"/>
            <w:r>
              <w:rPr>
                <w:b/>
              </w:rPr>
              <w:t>tetrachloroethylene</w:t>
            </w:r>
            <w:proofErr w:type="spellEnd"/>
            <w:r>
              <w:rPr>
                <w:b/>
              </w:rPr>
              <w:t xml:space="preserve"> or dry cleaning solvents occurred, please include duties being performed, the source of the exposure, how exposure occurred and the place where exposure occurred</w:t>
            </w:r>
          </w:p>
        </w:tc>
        <w:tc>
          <w:tcPr>
            <w:tcW w:w="2977" w:type="dxa"/>
            <w:tcBorders>
              <w:top w:val="single" w:sz="12" w:space="0" w:color="808080"/>
              <w:left w:val="single" w:sz="6" w:space="0" w:color="C0C0C0"/>
              <w:bottom w:val="single" w:sz="6" w:space="0" w:color="C0C0C0"/>
              <w:right w:val="single" w:sz="12" w:space="0" w:color="C0C0C0"/>
            </w:tcBorders>
            <w:shd w:val="pct5" w:color="auto" w:fill="auto"/>
          </w:tcPr>
          <w:p w:rsidR="00000000" w:rsidRDefault="00321B82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Hours of inhalation or skin contact with </w:t>
            </w:r>
            <w:proofErr w:type="spellStart"/>
            <w:r>
              <w:rPr>
                <w:b/>
              </w:rPr>
              <w:t>tetrachloroethylene</w:t>
            </w:r>
            <w:proofErr w:type="spellEnd"/>
            <w:r>
              <w:rPr>
                <w:b/>
              </w:rPr>
              <w:t xml:space="preserve"> or dry cleaning solvents during this period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  <w:jc w:val="center"/>
            </w:pPr>
            <w:r>
              <w:t>to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000000" w:rsidRDefault="00321B82">
            <w:pPr>
              <w:spacing w:after="120"/>
            </w:pPr>
          </w:p>
          <w:p w:rsidR="00000000" w:rsidRDefault="00321B82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  <w:jc w:val="center"/>
            </w:pPr>
            <w:r>
              <w:t>to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000000" w:rsidRDefault="00321B82">
            <w:pPr>
              <w:spacing w:after="120"/>
            </w:pPr>
          </w:p>
          <w:p w:rsidR="00000000" w:rsidRDefault="00321B82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  <w:jc w:val="center"/>
            </w:pPr>
            <w:r>
              <w:t>to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000000" w:rsidRDefault="00321B82">
            <w:pPr>
              <w:spacing w:after="120"/>
            </w:pPr>
          </w:p>
          <w:p w:rsidR="00000000" w:rsidRDefault="00321B82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  <w:jc w:val="center"/>
            </w:pPr>
            <w:r>
              <w:t>to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321B82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000000" w:rsidRDefault="00321B82">
            <w:pPr>
              <w:spacing w:after="120"/>
            </w:pPr>
          </w:p>
          <w:p w:rsidR="00000000" w:rsidRDefault="00321B82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single" w:sz="12" w:space="0" w:color="C0C0C0"/>
              <w:bottom w:val="single" w:sz="12" w:space="0" w:color="808080"/>
              <w:right w:val="single" w:sz="6" w:space="0" w:color="C0C0C0"/>
            </w:tcBorders>
          </w:tcPr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  <w:jc w:val="center"/>
            </w:pPr>
            <w:r>
              <w:t>to</w:t>
            </w:r>
          </w:p>
          <w:p w:rsidR="00000000" w:rsidRDefault="00321B82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000000" w:rsidRDefault="00321B82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12" w:space="0" w:color="808080"/>
              <w:right w:val="single" w:sz="12" w:space="0" w:color="C0C0C0"/>
            </w:tcBorders>
          </w:tcPr>
          <w:p w:rsidR="00000000" w:rsidRDefault="00321B82">
            <w:pPr>
              <w:spacing w:after="120"/>
            </w:pPr>
          </w:p>
          <w:p w:rsidR="00000000" w:rsidRDefault="00321B82">
            <w:pPr>
              <w:spacing w:after="120"/>
            </w:pPr>
          </w:p>
        </w:tc>
      </w:tr>
    </w:tbl>
    <w:p w:rsidR="00000000" w:rsidRDefault="00321B82">
      <w:pPr>
        <w:rPr>
          <w:sz w:val="16"/>
        </w:rPr>
      </w:pPr>
      <w:bookmarkStart w:id="9" w:name="WorseningQuestions"/>
      <w:bookmarkEnd w:id="9"/>
    </w:p>
    <w:p w:rsidR="00000000" w:rsidRDefault="00321B82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Claimant's Signature</w:t>
      </w:r>
    </w:p>
    <w:p w:rsidR="00000000" w:rsidRDefault="00321B82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00000" w:rsidRDefault="00321B82" w:rsidP="00321B82">
      <w:pPr>
        <w:framePr w:hSpace="181" w:wrap="notBeside" w:hAnchor="margin" w:yAlign="bottom"/>
        <w:numPr>
          <w:ilvl w:val="0"/>
          <w:numId w:val="1"/>
        </w:numPr>
      </w:pPr>
      <w:r>
        <w:t>The Decla</w:t>
      </w:r>
      <w:r>
        <w:t>ration you signed on the claim form also covers the information you supply on this form.</w:t>
      </w:r>
    </w:p>
    <w:p w:rsidR="00000000" w:rsidRDefault="00321B82" w:rsidP="00321B82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321B82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21B82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000000" w:rsidRDefault="00321B82"/>
    <w:sectPr w:rsidR="00000000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1B82">
      <w:r>
        <w:separator/>
      </w:r>
    </w:p>
  </w:endnote>
  <w:endnote w:type="continuationSeparator" w:id="0">
    <w:p w:rsidR="00000000" w:rsidRDefault="003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B82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1B82">
      <w:r>
        <w:separator/>
      </w:r>
    </w:p>
  </w:footnote>
  <w:footnote w:type="continuationSeparator" w:id="0">
    <w:p w:rsidR="00000000" w:rsidRDefault="0032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470"/>
    <w:multiLevelType w:val="singleLevel"/>
    <w:tmpl w:val="BFDC08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4257618"/>
    <w:multiLevelType w:val="singleLevel"/>
    <w:tmpl w:val="BFDC088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82"/>
    <w:rsid w:val="003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Neoplasm of the Bladder - Exposure to tetrachloroethylene or dry cleaning solvents</vt:lpstr>
    </vt:vector>
  </TitlesOfParts>
  <Company>SoftLaw Corporation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Neoplasm of the Bladder - Exposure to tetrachloroethylene or dry cleaning solvents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2015-06-17T01:47:00Z</dcterms:created>
  <dcterms:modified xsi:type="dcterms:W3CDTF">2015-06-17T01:47:00Z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Malignant Neoplasm of the Bladder</vt:lpwstr>
  </property>
  <property fmtid="{D5CDD505-2E9C-101B-9397-08002B2CF9AE}" pid="3" name="Contention">
    <vt:lpwstr>Exposure to tetrachloroethylene or dry cleaning solvents</vt:lpwstr>
  </property>
  <property fmtid="{D5CDD505-2E9C-101B-9397-08002B2CF9AE}" pid="4" name="ReportType">
    <vt:lpwstr>Claimant</vt:lpwstr>
  </property>
  <property fmtid="{D5CDD505-2E9C-101B-9397-08002B2CF9AE}" pid="5" name="LastModified">
    <vt:lpwstr>14/02/2008</vt:lpwstr>
  </property>
  <property fmtid="{D5CDD505-2E9C-101B-9397-08002B2CF9AE}" pid="6" name="DocumentID">
    <vt:lpwstr>CSCB029CR9296 14/02/2008</vt:lpwstr>
  </property>
  <property fmtid="{D5CDD505-2E9C-101B-9397-08002B2CF9AE}" pid="7" name="ReportNumber">
    <vt:lpwstr>9296</vt:lpwstr>
  </property>
  <property fmtid="{D5CDD505-2E9C-101B-9397-08002B2CF9AE}" pid="8" name="SOP">
    <vt:lpwstr>B029</vt:lpwstr>
  </property>
  <property fmtid="{D5CDD505-2E9C-101B-9397-08002B2CF9AE}" pid="9" name="DocumentName">
    <vt:lpwstr>CR9296</vt:lpwstr>
  </property>
</Properties>
</file>