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00E7A">
      <w:pPr>
        <w:framePr w:hSpace="181" w:wrap="notBeside" w:vAnchor="page" w:hAnchor="margin" w:x="1" w:y="749"/>
      </w:pPr>
      <w:bookmarkStart w:id="0" w:name="DVAHead"/>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000000" w:rsidRDefault="00300E7A">
      <w:pPr>
        <w:pStyle w:val="ReportTitle"/>
      </w:pPr>
      <w:r>
        <w:t>Claimant Report - Phenacetin</w:t>
      </w:r>
    </w:p>
    <w:p w:rsidR="00000000" w:rsidRDefault="00300E7A">
      <w:pPr>
        <w:pStyle w:val="ReportTitle"/>
      </w:pPr>
      <w:bookmarkStart w:id="1" w:name="Condition"/>
      <w:bookmarkStart w:id="2" w:name="QuestionnaireCondition"/>
      <w:bookmarkEnd w:id="1"/>
      <w:r>
        <w:t>Malignant Neoplasm Of The Bladder</w:t>
      </w:r>
      <w:bookmarkEnd w:id="2"/>
    </w:p>
    <w:p w:rsidR="00000000" w:rsidRDefault="00300E7A">
      <w:pPr>
        <w:pStyle w:val="ReportPrivacy"/>
      </w:pPr>
      <w:bookmarkStart w:id="3" w:name="Disclaimer"/>
      <w:bookmarkEnd w:id="0"/>
      <w:r>
        <w:t>This form is in connection with your claim for pension and medical treatment and the information you supply will assist in deciding eligibility for benefits under the Veterans' Entitlem</w:t>
      </w:r>
      <w:r>
        <w:t>ents Act 1986 and/or Military Rehabilitation and Compensation Act 2004.   In the event of an appeal against a decision, this information may be provided to the Veterans' Review Board, Administrative Appeals Tribunal or Federal Court.</w:t>
      </w:r>
    </w:p>
    <w:bookmarkEnd w:id="3"/>
    <w:p w:rsidR="00000000" w:rsidRDefault="00300E7A">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000000">
        <w:tblPrEx>
          <w:tblCellMar>
            <w:top w:w="0" w:type="dxa"/>
            <w:bottom w:w="0" w:type="dxa"/>
          </w:tblCellMar>
        </w:tblPrEx>
        <w:trPr>
          <w:gridAfter w:val="1"/>
          <w:wAfter w:w="15" w:type="dxa"/>
          <w:cantSplit/>
        </w:trPr>
        <w:tc>
          <w:tcPr>
            <w:tcW w:w="3040" w:type="dxa"/>
            <w:tcBorders>
              <w:top w:val="nil"/>
              <w:left w:val="nil"/>
              <w:bottom w:val="nil"/>
              <w:right w:val="nil"/>
            </w:tcBorders>
          </w:tcPr>
          <w:p w:rsidR="00000000" w:rsidRDefault="00300E7A">
            <w:pPr>
              <w:rPr>
                <w:b/>
              </w:rPr>
            </w:pPr>
            <w:r>
              <w:rPr>
                <w:b/>
              </w:rPr>
              <w:t>Surname</w:t>
            </w:r>
          </w:p>
        </w:tc>
        <w:tc>
          <w:tcPr>
            <w:tcW w:w="270" w:type="dxa"/>
            <w:tcBorders>
              <w:top w:val="nil"/>
              <w:left w:val="nil"/>
              <w:bottom w:val="nil"/>
              <w:right w:val="nil"/>
            </w:tcBorders>
          </w:tcPr>
          <w:p w:rsidR="00000000" w:rsidRDefault="00300E7A">
            <w:pPr>
              <w:rPr>
                <w:b/>
              </w:rPr>
            </w:pPr>
          </w:p>
        </w:tc>
        <w:tc>
          <w:tcPr>
            <w:tcW w:w="3557" w:type="dxa"/>
            <w:gridSpan w:val="2"/>
            <w:tcBorders>
              <w:top w:val="nil"/>
              <w:left w:val="nil"/>
              <w:bottom w:val="nil"/>
              <w:right w:val="nil"/>
            </w:tcBorders>
          </w:tcPr>
          <w:p w:rsidR="00000000" w:rsidRDefault="00300E7A">
            <w:pPr>
              <w:rPr>
                <w:b/>
              </w:rPr>
            </w:pPr>
            <w:r>
              <w:rPr>
                <w:b/>
              </w:rPr>
              <w:t>Given Names</w:t>
            </w:r>
          </w:p>
        </w:tc>
        <w:tc>
          <w:tcPr>
            <w:tcW w:w="283" w:type="dxa"/>
            <w:gridSpan w:val="2"/>
            <w:tcBorders>
              <w:top w:val="nil"/>
              <w:left w:val="nil"/>
              <w:bottom w:val="nil"/>
              <w:right w:val="nil"/>
            </w:tcBorders>
          </w:tcPr>
          <w:p w:rsidR="00000000" w:rsidRDefault="00300E7A">
            <w:pPr>
              <w:rPr>
                <w:b/>
              </w:rPr>
            </w:pPr>
          </w:p>
        </w:tc>
        <w:tc>
          <w:tcPr>
            <w:tcW w:w="2836" w:type="dxa"/>
            <w:gridSpan w:val="2"/>
            <w:tcBorders>
              <w:top w:val="nil"/>
              <w:left w:val="nil"/>
              <w:bottom w:val="nil"/>
              <w:right w:val="nil"/>
            </w:tcBorders>
          </w:tcPr>
          <w:p w:rsidR="00000000" w:rsidRDefault="00300E7A">
            <w:pPr>
              <w:rPr>
                <w:b/>
              </w:rPr>
            </w:pPr>
            <w:r>
              <w:rPr>
                <w:b/>
              </w:rPr>
              <w:t>DVA File Number</w:t>
            </w:r>
          </w:p>
        </w:tc>
      </w:tr>
      <w:tr w:rsidR="00000000">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000000" w:rsidRDefault="00300E7A">
            <w:pPr>
              <w:pStyle w:val="ReportVeteran"/>
            </w:pPr>
          </w:p>
        </w:tc>
        <w:tc>
          <w:tcPr>
            <w:tcW w:w="284" w:type="dxa"/>
            <w:gridSpan w:val="2"/>
            <w:tcBorders>
              <w:top w:val="nil"/>
              <w:left w:val="nil"/>
              <w:bottom w:val="nil"/>
              <w:right w:val="nil"/>
            </w:tcBorders>
          </w:tcPr>
          <w:p w:rsidR="00000000" w:rsidRDefault="00300E7A">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000000" w:rsidRDefault="00300E7A">
            <w:pPr>
              <w:pStyle w:val="ReportVeteran"/>
            </w:pPr>
          </w:p>
        </w:tc>
        <w:tc>
          <w:tcPr>
            <w:tcW w:w="284" w:type="dxa"/>
            <w:gridSpan w:val="2"/>
            <w:tcBorders>
              <w:top w:val="nil"/>
              <w:left w:val="nil"/>
              <w:bottom w:val="nil"/>
              <w:right w:val="nil"/>
            </w:tcBorders>
          </w:tcPr>
          <w:p w:rsidR="00000000" w:rsidRDefault="00300E7A">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000000" w:rsidRDefault="00300E7A">
            <w:pPr>
              <w:pStyle w:val="ReportVeteran"/>
            </w:pPr>
            <w:bookmarkStart w:id="4" w:name="_GoBack"/>
            <w:bookmarkEnd w:id="4"/>
          </w:p>
        </w:tc>
      </w:tr>
    </w:tbl>
    <w:p w:rsidR="00000000" w:rsidRDefault="00300E7A">
      <w:pPr>
        <w:pStyle w:val="ReportSection"/>
      </w:pPr>
      <w:r>
        <w:t>Report Detail</w:t>
      </w:r>
    </w:p>
    <w:p w:rsidR="00000000" w:rsidRDefault="00300E7A">
      <w:pPr>
        <w:spacing w:before="120" w:after="120"/>
        <w:ind w:left="720" w:hanging="720"/>
      </w:pPr>
      <w:bookmarkStart w:id="5" w:name="ReportBody"/>
      <w:bookmarkStart w:id="6" w:name="Preamble"/>
      <w:bookmarkEnd w:id="5"/>
      <w:bookmarkEnd w:id="6"/>
      <w:r>
        <w:t>1.</w:t>
      </w:r>
      <w:r>
        <w:tab/>
        <w:t xml:space="preserve">Has there ever been ingestion of phenacetin?  (Phenacetin is no longer used in medications but prior to 1975 it was used in many analgesics and </w:t>
      </w:r>
      <w:r>
        <w:t xml:space="preserve">headache remedies including APC (aspirin, phenacetin and caffeine), Vincent's powders, </w:t>
      </w:r>
      <w:proofErr w:type="spellStart"/>
      <w:r>
        <w:t>Bex</w:t>
      </w:r>
      <w:proofErr w:type="spellEnd"/>
      <w:r>
        <w:t xml:space="preserve">, </w:t>
      </w:r>
      <w:proofErr w:type="spellStart"/>
      <w:r>
        <w:t>Bromo</w:t>
      </w:r>
      <w:proofErr w:type="spellEnd"/>
      <w:r>
        <w:t xml:space="preserve"> seltzer, </w:t>
      </w:r>
      <w:proofErr w:type="spellStart"/>
      <w:r>
        <w:t>Empirin</w:t>
      </w:r>
      <w:proofErr w:type="spellEnd"/>
      <w:r>
        <w:t xml:space="preserve"> Compound and many other over-the-counter and prescription drugs.)</w:t>
      </w:r>
    </w:p>
    <w:p w:rsidR="00000000" w:rsidRDefault="00300E7A">
      <w:pPr>
        <w:tabs>
          <w:tab w:val="left" w:pos="7939"/>
        </w:tabs>
        <w:ind w:left="1440" w:hanging="747"/>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000000" w:rsidRDefault="00300E7A">
      <w:pPr>
        <w:tabs>
          <w:tab w:val="left" w:pos="1702"/>
        </w:tabs>
        <w:ind w:left="1440" w:hanging="747"/>
        <w:rPr>
          <w:b/>
        </w:rPr>
      </w:pPr>
      <w:r>
        <w:rPr>
          <w:rFonts w:ascii="Wingdings" w:hAnsi="Wingdings"/>
          <w:sz w:val="32"/>
        </w:rPr>
        <w:t></w:t>
      </w:r>
      <w:r>
        <w:tab/>
      </w:r>
      <w:r>
        <w:rPr>
          <w:b/>
        </w:rPr>
        <w:t>Yes</w:t>
      </w:r>
    </w:p>
    <w:p w:rsidR="00000000" w:rsidRDefault="00300E7A">
      <w:pPr>
        <w:spacing w:before="240" w:after="120"/>
        <w:ind w:left="720" w:hanging="720"/>
      </w:pPr>
      <w:r>
        <w:t>2.</w:t>
      </w:r>
      <w:r>
        <w:tab/>
        <w:t xml:space="preserve">Over a period of time was sufficient phenacetin taken to total 100 grams of phenacetin? (Work this out using the quantity of phenacetin contained in each dose of the product taken </w:t>
      </w:r>
      <w:proofErr w:type="spellStart"/>
      <w:r>
        <w:t>eg</w:t>
      </w:r>
      <w:proofErr w:type="spellEnd"/>
      <w:r>
        <w:t xml:space="preserve"> APC tablets contained 250mg phenacetin therefore 400 tablets would have to be t</w:t>
      </w:r>
      <w:r>
        <w:t xml:space="preserve">aken before 100 grams of phenacetin had been ingested.  </w:t>
      </w:r>
      <w:proofErr w:type="spellStart"/>
      <w:r>
        <w:t>Empirin</w:t>
      </w:r>
      <w:proofErr w:type="spellEnd"/>
      <w:r>
        <w:t xml:space="preserve"> Compound contained 150mg phenacetin therefore 660 tablets would have to be taken before 100 grams of phenacetin had been ingested.  Your doctor may be able to help you with this if the phenacetin was a prescribed drug.)</w:t>
      </w:r>
    </w:p>
    <w:p w:rsidR="00000000" w:rsidRDefault="00300E7A">
      <w:pPr>
        <w:tabs>
          <w:tab w:val="left" w:pos="7939"/>
        </w:tabs>
        <w:ind w:left="1440" w:hanging="720"/>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000000" w:rsidRDefault="00300E7A">
      <w:pPr>
        <w:spacing w:after="240"/>
        <w:ind w:left="1440" w:hanging="720"/>
      </w:pPr>
      <w:r>
        <w:rPr>
          <w:rFonts w:ascii="Wingdings" w:hAnsi="Wingdings"/>
          <w:sz w:val="32"/>
        </w:rPr>
        <w:t></w:t>
      </w:r>
      <w:r>
        <w:tab/>
      </w:r>
      <w:r>
        <w:rPr>
          <w:b/>
        </w:rPr>
        <w:t xml:space="preserve">Yes - </w:t>
      </w:r>
      <w:r>
        <w:t>Please give details of the phenacetin products ingested for each identifiable medical condition as required in the table overleaf:</w:t>
      </w:r>
    </w:p>
    <w:p w:rsidR="00000000" w:rsidRDefault="00300E7A">
      <w:pPr>
        <w:spacing w:after="240"/>
        <w:ind w:left="1134" w:hanging="567"/>
        <w:rPr>
          <w:b/>
        </w:rPr>
      </w:pPr>
      <w:r>
        <w:br w:type="page"/>
      </w:r>
      <w:r>
        <w:rPr>
          <w:b/>
        </w:rPr>
        <w:lastRenderedPageBreak/>
        <w:t>Phenacetin consumption:</w:t>
      </w:r>
    </w:p>
    <w:tbl>
      <w:tblPr>
        <w:tblW w:w="0" w:type="auto"/>
        <w:jc w:val="center"/>
        <w:tblLayout w:type="fixed"/>
        <w:tblLook w:val="0000" w:firstRow="0" w:lastRow="0" w:firstColumn="0" w:lastColumn="0" w:noHBand="0" w:noVBand="0"/>
      </w:tblPr>
      <w:tblGrid>
        <w:gridCol w:w="1588"/>
        <w:gridCol w:w="1588"/>
        <w:gridCol w:w="1786"/>
        <w:gridCol w:w="1842"/>
        <w:gridCol w:w="2552"/>
      </w:tblGrid>
      <w:tr w:rsidR="00000000">
        <w:tblPrEx>
          <w:tblCellMar>
            <w:top w:w="0" w:type="dxa"/>
            <w:bottom w:w="0" w:type="dxa"/>
          </w:tblCellMar>
        </w:tblPrEx>
        <w:trPr>
          <w:jc w:val="center"/>
        </w:trPr>
        <w:tc>
          <w:tcPr>
            <w:tcW w:w="1588" w:type="dxa"/>
            <w:tcBorders>
              <w:top w:val="single" w:sz="6" w:space="0" w:color="C0C0C0"/>
              <w:left w:val="single" w:sz="6" w:space="0" w:color="C0C0C0"/>
              <w:bottom w:val="single" w:sz="6" w:space="0" w:color="C0C0C0"/>
              <w:right w:val="single" w:sz="6" w:space="0" w:color="C0C0C0"/>
            </w:tcBorders>
            <w:shd w:val="pct5" w:color="auto" w:fill="auto"/>
          </w:tcPr>
          <w:p w:rsidR="00000000" w:rsidRDefault="00300E7A">
            <w:pPr>
              <w:spacing w:before="240"/>
              <w:jc w:val="center"/>
              <w:rPr>
                <w:b/>
              </w:rPr>
            </w:pPr>
            <w:r>
              <w:rPr>
                <w:b/>
              </w:rPr>
              <w:t>Diag</w:t>
            </w:r>
            <w:r>
              <w:rPr>
                <w:b/>
              </w:rPr>
              <w:t xml:space="preserve">nosis of disability treated with phenacetin </w:t>
            </w:r>
          </w:p>
        </w:tc>
        <w:tc>
          <w:tcPr>
            <w:tcW w:w="1588" w:type="dxa"/>
            <w:tcBorders>
              <w:top w:val="single" w:sz="6" w:space="0" w:color="C0C0C0"/>
              <w:left w:val="single" w:sz="6" w:space="0" w:color="C0C0C0"/>
              <w:bottom w:val="single" w:sz="6" w:space="0" w:color="C0C0C0"/>
              <w:right w:val="single" w:sz="6" w:space="0" w:color="C0C0C0"/>
            </w:tcBorders>
            <w:shd w:val="pct5" w:color="auto" w:fill="auto"/>
          </w:tcPr>
          <w:p w:rsidR="00000000" w:rsidRDefault="00300E7A">
            <w:pPr>
              <w:spacing w:before="240"/>
              <w:jc w:val="center"/>
              <w:rPr>
                <w:b/>
              </w:rPr>
            </w:pPr>
            <w:r>
              <w:rPr>
                <w:b/>
              </w:rPr>
              <w:t xml:space="preserve">Name of product containing phenacetin </w:t>
            </w:r>
          </w:p>
        </w:tc>
        <w:tc>
          <w:tcPr>
            <w:tcW w:w="1786" w:type="dxa"/>
            <w:tcBorders>
              <w:top w:val="single" w:sz="6" w:space="0" w:color="C0C0C0"/>
              <w:left w:val="single" w:sz="6" w:space="0" w:color="C0C0C0"/>
              <w:bottom w:val="single" w:sz="6" w:space="0" w:color="C0C0C0"/>
              <w:right w:val="single" w:sz="6" w:space="0" w:color="C0C0C0"/>
            </w:tcBorders>
            <w:shd w:val="pct5" w:color="auto" w:fill="auto"/>
          </w:tcPr>
          <w:p w:rsidR="00000000" w:rsidRDefault="00300E7A">
            <w:pPr>
              <w:spacing w:before="240"/>
              <w:jc w:val="center"/>
              <w:rPr>
                <w:b/>
              </w:rPr>
            </w:pPr>
            <w:r>
              <w:rPr>
                <w:b/>
              </w:rPr>
              <w:t xml:space="preserve">Dose taken each time </w:t>
            </w:r>
            <w:proofErr w:type="spellStart"/>
            <w:r>
              <w:rPr>
                <w:b/>
              </w:rPr>
              <w:t>eg</w:t>
            </w:r>
            <w:proofErr w:type="spellEnd"/>
            <w:r>
              <w:rPr>
                <w:b/>
              </w:rPr>
              <w:t xml:space="preserve"> number of tablets or powders</w:t>
            </w:r>
          </w:p>
        </w:tc>
        <w:tc>
          <w:tcPr>
            <w:tcW w:w="1842" w:type="dxa"/>
            <w:tcBorders>
              <w:top w:val="single" w:sz="6" w:space="0" w:color="C0C0C0"/>
              <w:left w:val="single" w:sz="6" w:space="0" w:color="C0C0C0"/>
              <w:bottom w:val="single" w:sz="6" w:space="0" w:color="C0C0C0"/>
              <w:right w:val="single" w:sz="6" w:space="0" w:color="C0C0C0"/>
            </w:tcBorders>
            <w:shd w:val="pct5" w:color="auto" w:fill="auto"/>
          </w:tcPr>
          <w:p w:rsidR="00000000" w:rsidRDefault="00300E7A">
            <w:pPr>
              <w:spacing w:before="240"/>
              <w:jc w:val="center"/>
              <w:rPr>
                <w:b/>
              </w:rPr>
            </w:pPr>
            <w:r>
              <w:rPr>
                <w:b/>
              </w:rPr>
              <w:t xml:space="preserve">Frequency of ingestion </w:t>
            </w:r>
            <w:proofErr w:type="spellStart"/>
            <w:r>
              <w:rPr>
                <w:b/>
              </w:rPr>
              <w:t>eg</w:t>
            </w:r>
            <w:proofErr w:type="spellEnd"/>
            <w:r>
              <w:rPr>
                <w:b/>
              </w:rPr>
              <w:t xml:space="preserve"> </w:t>
            </w:r>
            <w:r>
              <w:rPr>
                <w:sz w:val="20"/>
              </w:rPr>
              <w:t>twice a day, once per month, a couple of times per year</w:t>
            </w:r>
          </w:p>
        </w:tc>
        <w:tc>
          <w:tcPr>
            <w:tcW w:w="2552" w:type="dxa"/>
            <w:tcBorders>
              <w:top w:val="single" w:sz="6" w:space="0" w:color="C0C0C0"/>
              <w:left w:val="single" w:sz="6" w:space="0" w:color="C0C0C0"/>
              <w:bottom w:val="single" w:sz="6" w:space="0" w:color="C0C0C0"/>
              <w:right w:val="single" w:sz="6" w:space="0" w:color="C0C0C0"/>
            </w:tcBorders>
            <w:shd w:val="pct5" w:color="auto" w:fill="auto"/>
          </w:tcPr>
          <w:p w:rsidR="00000000" w:rsidRDefault="00300E7A">
            <w:pPr>
              <w:spacing w:before="240"/>
              <w:jc w:val="center"/>
              <w:rPr>
                <w:b/>
              </w:rPr>
            </w:pPr>
            <w:r>
              <w:rPr>
                <w:b/>
              </w:rPr>
              <w:t>Period of phenacetin ingestion</w:t>
            </w:r>
          </w:p>
        </w:tc>
      </w:tr>
      <w:tr w:rsidR="00000000">
        <w:tblPrEx>
          <w:tblCellMar>
            <w:top w:w="0" w:type="dxa"/>
            <w:bottom w:w="0" w:type="dxa"/>
          </w:tblCellMar>
        </w:tblPrEx>
        <w:trPr>
          <w:trHeight w:val="864"/>
          <w:jc w:val="center"/>
        </w:trPr>
        <w:tc>
          <w:tcPr>
            <w:tcW w:w="1588"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p>
        </w:tc>
        <w:tc>
          <w:tcPr>
            <w:tcW w:w="1588"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p>
        </w:tc>
        <w:tc>
          <w:tcPr>
            <w:tcW w:w="1786"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p>
        </w:tc>
        <w:tc>
          <w:tcPr>
            <w:tcW w:w="1842"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p>
        </w:tc>
        <w:tc>
          <w:tcPr>
            <w:tcW w:w="2552"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r>
              <w:t xml:space="preserve">    /    /      to      /    /    </w:t>
            </w:r>
          </w:p>
        </w:tc>
      </w:tr>
      <w:tr w:rsidR="00000000">
        <w:tblPrEx>
          <w:tblCellMar>
            <w:top w:w="0" w:type="dxa"/>
            <w:bottom w:w="0" w:type="dxa"/>
          </w:tblCellMar>
        </w:tblPrEx>
        <w:trPr>
          <w:trHeight w:val="864"/>
          <w:jc w:val="center"/>
        </w:trPr>
        <w:tc>
          <w:tcPr>
            <w:tcW w:w="1588"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p>
        </w:tc>
        <w:tc>
          <w:tcPr>
            <w:tcW w:w="1588"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p>
        </w:tc>
        <w:tc>
          <w:tcPr>
            <w:tcW w:w="1786"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p>
        </w:tc>
        <w:tc>
          <w:tcPr>
            <w:tcW w:w="1842"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p>
        </w:tc>
        <w:tc>
          <w:tcPr>
            <w:tcW w:w="2552"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r>
              <w:t xml:space="preserve">    /    /      to      /    /    </w:t>
            </w:r>
          </w:p>
        </w:tc>
      </w:tr>
      <w:tr w:rsidR="00000000">
        <w:tblPrEx>
          <w:tblCellMar>
            <w:top w:w="0" w:type="dxa"/>
            <w:bottom w:w="0" w:type="dxa"/>
          </w:tblCellMar>
        </w:tblPrEx>
        <w:trPr>
          <w:trHeight w:val="864"/>
          <w:jc w:val="center"/>
        </w:trPr>
        <w:tc>
          <w:tcPr>
            <w:tcW w:w="1588"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p>
        </w:tc>
        <w:tc>
          <w:tcPr>
            <w:tcW w:w="1588"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p>
        </w:tc>
        <w:tc>
          <w:tcPr>
            <w:tcW w:w="1786"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p>
        </w:tc>
        <w:tc>
          <w:tcPr>
            <w:tcW w:w="1842"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p>
        </w:tc>
        <w:tc>
          <w:tcPr>
            <w:tcW w:w="2552"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r>
              <w:t xml:space="preserve">    /    /      to      /    /    </w:t>
            </w:r>
          </w:p>
        </w:tc>
      </w:tr>
      <w:tr w:rsidR="00000000">
        <w:tblPrEx>
          <w:tblCellMar>
            <w:top w:w="0" w:type="dxa"/>
            <w:bottom w:w="0" w:type="dxa"/>
          </w:tblCellMar>
        </w:tblPrEx>
        <w:trPr>
          <w:trHeight w:val="864"/>
          <w:jc w:val="center"/>
        </w:trPr>
        <w:tc>
          <w:tcPr>
            <w:tcW w:w="1588"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p>
        </w:tc>
        <w:tc>
          <w:tcPr>
            <w:tcW w:w="1588"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p>
        </w:tc>
        <w:tc>
          <w:tcPr>
            <w:tcW w:w="1786"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p>
        </w:tc>
        <w:tc>
          <w:tcPr>
            <w:tcW w:w="1842"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p>
        </w:tc>
        <w:tc>
          <w:tcPr>
            <w:tcW w:w="2552"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r>
              <w:t xml:space="preserve">    /    /      to      /    /    </w:t>
            </w:r>
          </w:p>
        </w:tc>
      </w:tr>
      <w:tr w:rsidR="00000000">
        <w:tblPrEx>
          <w:tblCellMar>
            <w:top w:w="0" w:type="dxa"/>
            <w:bottom w:w="0" w:type="dxa"/>
          </w:tblCellMar>
        </w:tblPrEx>
        <w:trPr>
          <w:trHeight w:val="864"/>
          <w:jc w:val="center"/>
        </w:trPr>
        <w:tc>
          <w:tcPr>
            <w:tcW w:w="1588"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p>
        </w:tc>
        <w:tc>
          <w:tcPr>
            <w:tcW w:w="1588"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p>
        </w:tc>
        <w:tc>
          <w:tcPr>
            <w:tcW w:w="1786"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p>
        </w:tc>
        <w:tc>
          <w:tcPr>
            <w:tcW w:w="1842"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p>
        </w:tc>
        <w:tc>
          <w:tcPr>
            <w:tcW w:w="2552"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r>
              <w:t xml:space="preserve">    /    /      to      /    /    </w:t>
            </w:r>
          </w:p>
        </w:tc>
      </w:tr>
      <w:tr w:rsidR="00000000">
        <w:tblPrEx>
          <w:tblCellMar>
            <w:top w:w="0" w:type="dxa"/>
            <w:bottom w:w="0" w:type="dxa"/>
          </w:tblCellMar>
        </w:tblPrEx>
        <w:trPr>
          <w:trHeight w:val="864"/>
          <w:jc w:val="center"/>
        </w:trPr>
        <w:tc>
          <w:tcPr>
            <w:tcW w:w="1588"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p>
        </w:tc>
        <w:tc>
          <w:tcPr>
            <w:tcW w:w="1588"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p>
        </w:tc>
        <w:tc>
          <w:tcPr>
            <w:tcW w:w="1786"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p>
        </w:tc>
        <w:tc>
          <w:tcPr>
            <w:tcW w:w="1842"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p>
        </w:tc>
        <w:tc>
          <w:tcPr>
            <w:tcW w:w="2552"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r>
              <w:t xml:space="preserve">    /    /      to      /    /    </w:t>
            </w:r>
          </w:p>
        </w:tc>
      </w:tr>
      <w:tr w:rsidR="00000000">
        <w:tblPrEx>
          <w:tblCellMar>
            <w:top w:w="0" w:type="dxa"/>
            <w:bottom w:w="0" w:type="dxa"/>
          </w:tblCellMar>
        </w:tblPrEx>
        <w:trPr>
          <w:trHeight w:val="864"/>
          <w:jc w:val="center"/>
        </w:trPr>
        <w:tc>
          <w:tcPr>
            <w:tcW w:w="1588"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p>
        </w:tc>
        <w:tc>
          <w:tcPr>
            <w:tcW w:w="1588"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p>
        </w:tc>
        <w:tc>
          <w:tcPr>
            <w:tcW w:w="1786"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p>
        </w:tc>
        <w:tc>
          <w:tcPr>
            <w:tcW w:w="1842"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p>
        </w:tc>
        <w:tc>
          <w:tcPr>
            <w:tcW w:w="2552"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r>
              <w:t xml:space="preserve">    /    /      t</w:t>
            </w:r>
            <w:r>
              <w:t xml:space="preserve">o      /    /    </w:t>
            </w:r>
          </w:p>
        </w:tc>
      </w:tr>
      <w:tr w:rsidR="00000000">
        <w:tblPrEx>
          <w:tblCellMar>
            <w:top w:w="0" w:type="dxa"/>
            <w:bottom w:w="0" w:type="dxa"/>
          </w:tblCellMar>
        </w:tblPrEx>
        <w:trPr>
          <w:trHeight w:val="864"/>
          <w:jc w:val="center"/>
        </w:trPr>
        <w:tc>
          <w:tcPr>
            <w:tcW w:w="1588"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p>
        </w:tc>
        <w:tc>
          <w:tcPr>
            <w:tcW w:w="1588"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p>
        </w:tc>
        <w:tc>
          <w:tcPr>
            <w:tcW w:w="1786"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p>
        </w:tc>
        <w:tc>
          <w:tcPr>
            <w:tcW w:w="1842"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p>
        </w:tc>
        <w:tc>
          <w:tcPr>
            <w:tcW w:w="2552" w:type="dxa"/>
            <w:tcBorders>
              <w:top w:val="single" w:sz="6" w:space="0" w:color="C0C0C0"/>
              <w:left w:val="single" w:sz="6" w:space="0" w:color="C0C0C0"/>
              <w:bottom w:val="single" w:sz="6" w:space="0" w:color="C0C0C0"/>
              <w:right w:val="single" w:sz="6" w:space="0" w:color="C0C0C0"/>
            </w:tcBorders>
          </w:tcPr>
          <w:p w:rsidR="00000000" w:rsidRDefault="00300E7A">
            <w:pPr>
              <w:spacing w:before="240"/>
            </w:pPr>
            <w:r>
              <w:t xml:space="preserve">    /    /      to      /    /    </w:t>
            </w:r>
          </w:p>
        </w:tc>
      </w:tr>
    </w:tbl>
    <w:p w:rsidR="00000000" w:rsidRDefault="00300E7A"/>
    <w:p w:rsidR="00000000" w:rsidRDefault="00300E7A">
      <w:pPr>
        <w:rPr>
          <w:sz w:val="16"/>
        </w:rPr>
      </w:pPr>
      <w:bookmarkStart w:id="7" w:name="WorseningQuestions"/>
      <w:bookmarkEnd w:id="7"/>
    </w:p>
    <w:p w:rsidR="00000000" w:rsidRDefault="00300E7A">
      <w:pPr>
        <w:pStyle w:val="ReportSection"/>
        <w:framePr w:hSpace="181" w:wrap="notBeside" w:hAnchor="margin" w:yAlign="bottom"/>
      </w:pPr>
      <w:bookmarkStart w:id="8" w:name="StartHere"/>
      <w:bookmarkStart w:id="9" w:name="SignatureBlock"/>
      <w:bookmarkEnd w:id="8"/>
      <w:r>
        <w:t>Claimant's Signature</w:t>
      </w:r>
    </w:p>
    <w:p w:rsidR="00000000" w:rsidRDefault="00300E7A">
      <w:pPr>
        <w:framePr w:hSpace="181" w:wrap="notBeside" w:hAnchor="margin" w:yAlign="bottom"/>
        <w:rPr>
          <w:b/>
          <w:i/>
        </w:rPr>
      </w:pPr>
      <w:r>
        <w:rPr>
          <w:b/>
          <w:i/>
        </w:rPr>
        <w:t>You are reminded that:</w:t>
      </w:r>
    </w:p>
    <w:p w:rsidR="00000000" w:rsidRDefault="00300E7A" w:rsidP="00300E7A">
      <w:pPr>
        <w:framePr w:hSpace="181" w:wrap="notBeside" w:hAnchor="margin" w:yAlign="bottom"/>
        <w:numPr>
          <w:ilvl w:val="0"/>
          <w:numId w:val="1"/>
        </w:numPr>
      </w:pPr>
      <w:r>
        <w:t>The Declaration you signed on the claim form also covers the information you supply on this form.</w:t>
      </w:r>
    </w:p>
    <w:p w:rsidR="00000000" w:rsidRDefault="00300E7A" w:rsidP="00300E7A">
      <w:pPr>
        <w:framePr w:hSpace="181" w:wrap="notBeside" w:hAnchor="margin" w:yAlign="bottom"/>
        <w:numPr>
          <w:ilvl w:val="0"/>
          <w:numId w:val="2"/>
        </w:numPr>
        <w:spacing w:after="120"/>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000000">
        <w:tblPrEx>
          <w:tblCellMar>
            <w:top w:w="0" w:type="dxa"/>
            <w:bottom w:w="0" w:type="dxa"/>
          </w:tblCellMar>
        </w:tblPrEx>
        <w:trPr>
          <w:cantSplit/>
        </w:trPr>
        <w:tc>
          <w:tcPr>
            <w:tcW w:w="6288" w:type="dxa"/>
            <w:tcBorders>
              <w:top w:val="single" w:sz="6" w:space="0" w:color="auto"/>
              <w:left w:val="single" w:sz="6" w:space="0" w:color="auto"/>
              <w:bottom w:val="nil"/>
              <w:right w:val="single" w:sz="12" w:space="0" w:color="auto"/>
            </w:tcBorders>
          </w:tcPr>
          <w:p w:rsidR="00000000" w:rsidRDefault="00300E7A">
            <w:pPr>
              <w:framePr w:hSpace="181" w:wrap="notBeside" w:hAnchor="margin" w:yAlign="bottom"/>
            </w:pPr>
          </w:p>
        </w:tc>
      </w:tr>
      <w:tr w:rsidR="00000000">
        <w:tblPrEx>
          <w:tblCellMar>
            <w:top w:w="0" w:type="dxa"/>
            <w:bottom w:w="0" w:type="dxa"/>
          </w:tblCellMar>
        </w:tblPrEx>
        <w:trPr>
          <w:cantSplit/>
        </w:trPr>
        <w:tc>
          <w:tcPr>
            <w:tcW w:w="6288" w:type="dxa"/>
            <w:tcBorders>
              <w:top w:val="nil"/>
              <w:left w:val="single" w:sz="6" w:space="0" w:color="auto"/>
              <w:bottom w:val="single" w:sz="12" w:space="0" w:color="auto"/>
              <w:right w:val="single" w:sz="12" w:space="0" w:color="auto"/>
            </w:tcBorders>
          </w:tcPr>
          <w:p w:rsidR="00000000" w:rsidRDefault="00300E7A">
            <w:pPr>
              <w:framePr w:hSpace="181" w:wrap="notBeside" w:hAnchor="margin" w:yAlign="bottom"/>
              <w:tabs>
                <w:tab w:val="left" w:pos="5103"/>
                <w:tab w:val="left" w:pos="5671"/>
              </w:tabs>
              <w:rPr>
                <w:b/>
              </w:rPr>
            </w:pPr>
            <w:r>
              <w:rPr>
                <w:b/>
              </w:rPr>
              <w:tab/>
              <w:t>/</w:t>
            </w:r>
            <w:r>
              <w:rPr>
                <w:b/>
              </w:rPr>
              <w:tab/>
              <w:t>/</w:t>
            </w:r>
          </w:p>
        </w:tc>
      </w:tr>
      <w:bookmarkEnd w:id="9"/>
    </w:tbl>
    <w:p w:rsidR="00000000" w:rsidRDefault="00300E7A"/>
    <w:sectPr w:rsidR="00000000">
      <w:footerReference w:type="first" r:id="rId8"/>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00E7A">
      <w:r>
        <w:separator/>
      </w:r>
    </w:p>
  </w:endnote>
  <w:endnote w:type="continuationSeparator" w:id="0">
    <w:p w:rsidR="00000000" w:rsidRDefault="0030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00E7A">
    <w:pPr>
      <w:pStyle w:val="ReportFormName"/>
    </w:pPr>
    <w:r>
      <w:fldChar w:fldCharType="begin"/>
    </w:r>
    <w:r>
      <w:instrText xml:space="preserve">subject </w:instrText>
    </w:r>
    <w:r>
      <w:fldChar w:fldCharType="separate"/>
    </w:r>
    <w:r>
      <w:t>Questionnaires</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00E7A">
      <w:r>
        <w:separator/>
      </w:r>
    </w:p>
  </w:footnote>
  <w:footnote w:type="continuationSeparator" w:id="0">
    <w:p w:rsidR="00000000" w:rsidRDefault="00300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B1376"/>
    <w:multiLevelType w:val="singleLevel"/>
    <w:tmpl w:val="29449840"/>
    <w:lvl w:ilvl="0">
      <w:start w:val="1"/>
      <w:numFmt w:val="none"/>
      <w:lvlText w:val=""/>
      <w:legacy w:legacy="1" w:legacySpace="0" w:legacyIndent="283"/>
      <w:lvlJc w:val="left"/>
      <w:pPr>
        <w:ind w:left="283" w:hanging="283"/>
      </w:pPr>
      <w:rPr>
        <w:rFonts w:ascii="Symbol" w:hAnsi="Symbol" w:hint="default"/>
      </w:rPr>
    </w:lvl>
  </w:abstractNum>
  <w:abstractNum w:abstractNumId="1">
    <w:nsid w:val="29DF0F59"/>
    <w:multiLevelType w:val="singleLevel"/>
    <w:tmpl w:val="29449840"/>
    <w:lvl w:ilvl="0">
      <w:start w:val="1"/>
      <w:numFmt w:val="none"/>
      <w:lvlText w:val=""/>
      <w:legacy w:legacy="1" w:legacySpace="0" w:legacyIndent="283"/>
      <w:lvlJc w:val="left"/>
      <w:pPr>
        <w:ind w:left="283" w:hanging="283"/>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attachedTemplate r:id="rId1"/>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7A"/>
    <w:rsid w:val="00300E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semiHidden/>
    <w:pPr>
      <w:tabs>
        <w:tab w:val="right" w:pos="8647"/>
        <w:tab w:val="right" w:leader="underscore" w:pos="9923"/>
      </w:tabs>
    </w:pPr>
    <w:rPr>
      <w:b/>
      <w:i/>
      <w:sz w:val="20"/>
    </w:rPr>
  </w:style>
  <w:style w:type="paragraph" w:styleId="NormalIndent">
    <w:name w:val="Normal Indent"/>
    <w:basedOn w:val="Normal"/>
    <w:semiHidden/>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semiHidden/>
    <w:pPr>
      <w:tabs>
        <w:tab w:val="right" w:pos="8647"/>
        <w:tab w:val="right" w:leader="underscore" w:pos="9923"/>
      </w:tabs>
    </w:pPr>
    <w:rPr>
      <w:b/>
      <w:i/>
      <w:sz w:val="20"/>
    </w:rPr>
  </w:style>
  <w:style w:type="paragraph" w:styleId="NormalIndent">
    <w:name w:val="Normal Indent"/>
    <w:basedOn w:val="Normal"/>
    <w:semiHidden/>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1</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Malignant Neoplasm of the Bladder - Phenacetin</vt:lpstr>
    </vt:vector>
  </TitlesOfParts>
  <Company>SoftLaw Corporation</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Malignant Neoplasm of the Bladder - Phenacetin</dc:title>
  <dc:subject>Questionnaires</dc:subject>
  <dc:creator>SoftLaw Corporation</dc:creator>
  <cp:lastModifiedBy>Cgrewh</cp:lastModifiedBy>
  <cp:revision>2</cp:revision>
  <cp:lastPrinted>1993-07-29T08:23:00Z</cp:lastPrinted>
  <dcterms:created xsi:type="dcterms:W3CDTF">2015-06-17T01:44:00Z</dcterms:created>
  <dcterms:modified xsi:type="dcterms:W3CDTF">2015-06-17T01:44:00Z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Malignant Neoplasm of the Bladder</vt:lpwstr>
  </property>
  <property fmtid="{D5CDD505-2E9C-101B-9397-08002B2CF9AE}" pid="3" name="Contention">
    <vt:lpwstr>Phenacetin</vt:lpwstr>
  </property>
  <property fmtid="{D5CDD505-2E9C-101B-9397-08002B2CF9AE}" pid="4" name="ReportType">
    <vt:lpwstr>Claimant</vt:lpwstr>
  </property>
  <property fmtid="{D5CDD505-2E9C-101B-9397-08002B2CF9AE}" pid="5" name="LastModified">
    <vt:lpwstr>14/02/2008</vt:lpwstr>
  </property>
  <property fmtid="{D5CDD505-2E9C-101B-9397-08002B2CF9AE}" pid="6" name="DocumentID">
    <vt:lpwstr>CSCB029CR9293 14/02/2008</vt:lpwstr>
  </property>
  <property fmtid="{D5CDD505-2E9C-101B-9397-08002B2CF9AE}" pid="7" name="ReportNumber">
    <vt:lpwstr>9293</vt:lpwstr>
  </property>
  <property fmtid="{D5CDD505-2E9C-101B-9397-08002B2CF9AE}" pid="8" name="SOP">
    <vt:lpwstr>B029</vt:lpwstr>
  </property>
  <property fmtid="{D5CDD505-2E9C-101B-9397-08002B2CF9AE}" pid="9" name="DocumentName">
    <vt:lpwstr>CR9293</vt:lpwstr>
  </property>
</Properties>
</file>