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BD0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7B6BD0">
      <w:pPr>
        <w:pStyle w:val="ReportTitle"/>
      </w:pPr>
      <w:r>
        <w:t>Claimant Report - Obesity or Increased Waist to Hip Ratio</w:t>
      </w:r>
    </w:p>
    <w:p w:rsidR="00000000" w:rsidRDefault="007B6BD0">
      <w:pPr>
        <w:pStyle w:val="ReportTitle"/>
      </w:pPr>
      <w:bookmarkStart w:id="1" w:name="Condition"/>
      <w:bookmarkStart w:id="2" w:name="QuestionnaireCondition"/>
      <w:bookmarkEnd w:id="1"/>
      <w:r>
        <w:t>Ischaemic Heart Disease</w:t>
      </w:r>
      <w:bookmarkEnd w:id="2"/>
    </w:p>
    <w:p w:rsidR="00000000" w:rsidRDefault="007B6BD0">
      <w:pPr>
        <w:pStyle w:val="ReportPrivacy"/>
      </w:pPr>
      <w:bookmarkStart w:id="3" w:name="Disclaimer"/>
      <w:bookmarkEnd w:id="0"/>
      <w:r>
        <w:t>This form is in connection with your claim for pension and medical treatment and the information you supply will assist in deciding eligibility for benefits under the</w:t>
      </w:r>
      <w:r>
        <w:t xml:space="preserve">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000000" w:rsidRDefault="007B6BD0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B6BD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B6BD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6BD0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B6BD0">
            <w:pPr>
              <w:pStyle w:val="ReportVeteran"/>
            </w:pPr>
            <w:bookmarkStart w:id="4" w:name="_GoBack"/>
            <w:bookmarkEnd w:id="4"/>
          </w:p>
        </w:tc>
      </w:tr>
    </w:tbl>
    <w:p w:rsidR="00000000" w:rsidRDefault="007B6BD0">
      <w:pPr>
        <w:pStyle w:val="ReportSection"/>
      </w:pPr>
      <w:r>
        <w:t>Report Detail</w:t>
      </w:r>
    </w:p>
    <w:p w:rsidR="00000000" w:rsidRDefault="007B6BD0">
      <w:pPr>
        <w:spacing w:before="120" w:after="240"/>
        <w:ind w:left="706" w:right="562"/>
        <w:rPr>
          <w:i/>
        </w:rPr>
      </w:pPr>
      <w:bookmarkStart w:id="5" w:name="ReportBody"/>
      <w:bookmarkStart w:id="6" w:name="Preamble"/>
      <w:bookmarkEnd w:id="5"/>
      <w:bookmarkEnd w:id="6"/>
      <w:r>
        <w:rPr>
          <w:i/>
        </w:rPr>
        <w:t>Being obese is determined using a person’s weight and height to measure their Body Mass Index (BMI). The Repatriation Medical Au</w:t>
      </w:r>
      <w:r>
        <w:rPr>
          <w:i/>
        </w:rPr>
        <w:t>thority has determined that being obese means having a BMI of 30 or greater.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 Increased waist to hip circumference ratio means a waist to hip ratio exceeding 1.0 for men or 0.9 for women.</w:t>
      </w:r>
      <w:r>
        <w:t xml:space="preserve"> </w:t>
      </w:r>
      <w:r>
        <w:rPr>
          <w:i/>
        </w:rPr>
        <w:t xml:space="preserve"> This ratio is calculated by dividing the waist measurement by the hip measurement.</w:t>
      </w:r>
    </w:p>
    <w:p w:rsidR="00000000" w:rsidRDefault="007B6BD0">
      <w:pPr>
        <w:spacing w:before="120" w:after="120"/>
        <w:ind w:left="630" w:hanging="630"/>
      </w:pPr>
      <w:r>
        <w:t>1.</w:t>
      </w:r>
      <w:r>
        <w:tab/>
        <w:t>To the best of your knowledge is there a history of having been obese or having an increased waist to hip circumference ratio as described above?</w:t>
      </w:r>
    </w:p>
    <w:p w:rsidR="00000000" w:rsidRDefault="007B6BD0">
      <w:pPr>
        <w:ind w:firstLine="720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></w:t>
      </w:r>
      <w:r>
        <w:rPr>
          <w:b/>
        </w:rPr>
        <w:t>No</w:t>
      </w:r>
      <w:r>
        <w:t xml:space="preserve"> – </w:t>
      </w:r>
      <w:r>
        <w:rPr>
          <w:i/>
        </w:rPr>
        <w:t xml:space="preserve">Please sign the </w:t>
      </w:r>
      <w:r>
        <w:rPr>
          <w:i/>
        </w:rPr>
        <w:t>form and return it to the Department</w:t>
      </w:r>
    </w:p>
    <w:p w:rsidR="00000000" w:rsidRDefault="007B6BD0">
      <w:pPr>
        <w:spacing w:after="360"/>
        <w:ind w:left="1843" w:hanging="1123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></w:t>
      </w:r>
      <w:r>
        <w:rPr>
          <w:b/>
        </w:rPr>
        <w:t xml:space="preserve">Yes </w:t>
      </w:r>
    </w:p>
    <w:p w:rsidR="00000000" w:rsidRDefault="007B6BD0">
      <w:pPr>
        <w:pStyle w:val="ReportQuestion"/>
        <w:spacing w:before="120" w:after="240"/>
        <w:ind w:left="562" w:hanging="562"/>
      </w:pPr>
      <w:r>
        <w:t>2.</w:t>
      </w:r>
      <w:r>
        <w:tab/>
        <w:t>Was ongoing medically prescribed drug therapy for weight reduction or surgical intervention for weight reduction (other than cosmetic surgery) ever required?</w:t>
      </w:r>
    </w:p>
    <w:p w:rsidR="00000000" w:rsidRDefault="007B6BD0">
      <w:pPr>
        <w:pStyle w:val="ReportCheckbox"/>
        <w:ind w:left="1276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000000" w:rsidRDefault="007B6BD0">
      <w:pPr>
        <w:pStyle w:val="ReportCheckbox"/>
        <w:spacing w:after="360"/>
        <w:ind w:left="1268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describe the treatment provided and the date or period of treatment: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</w:tbl>
    <w:p w:rsidR="00000000" w:rsidRDefault="007B6BD0">
      <w:pPr>
        <w:tabs>
          <w:tab w:val="left" w:pos="1134"/>
        </w:tabs>
        <w:spacing w:after="240"/>
        <w:ind w:left="567" w:hanging="567"/>
      </w:pPr>
      <w:r>
        <w:br w:type="page"/>
      </w:r>
    </w:p>
    <w:p w:rsidR="00000000" w:rsidRDefault="007B6BD0">
      <w:pPr>
        <w:tabs>
          <w:tab w:val="left" w:pos="1134"/>
        </w:tabs>
        <w:spacing w:after="240"/>
        <w:ind w:left="567" w:hanging="567"/>
      </w:pPr>
      <w:r>
        <w:t>3.</w:t>
      </w:r>
      <w:r>
        <w:tab/>
        <w:t xml:space="preserve">Please describe any weight-related problems, include any body measurements if known.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7B6BD0">
            <w:pPr>
              <w:pStyle w:val="ReportQuestion"/>
              <w:rPr>
                <w:sz w:val="20"/>
              </w:rPr>
            </w:pPr>
          </w:p>
        </w:tc>
      </w:tr>
    </w:tbl>
    <w:p w:rsidR="00000000" w:rsidRDefault="007B6BD0">
      <w:pPr>
        <w:rPr>
          <w:sz w:val="16"/>
        </w:rPr>
      </w:pPr>
      <w:bookmarkStart w:id="7" w:name="WorseningQuestions"/>
      <w:bookmarkEnd w:id="7"/>
    </w:p>
    <w:p w:rsidR="00000000" w:rsidRDefault="007B6BD0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Claimant's Signature</w:t>
      </w:r>
    </w:p>
    <w:p w:rsidR="00000000" w:rsidRDefault="007B6BD0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7B6BD0" w:rsidP="007B6BD0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</w:t>
      </w:r>
      <w:r>
        <w:t>rs the information you supply on this form.</w:t>
      </w:r>
    </w:p>
    <w:p w:rsidR="00000000" w:rsidRDefault="007B6BD0" w:rsidP="007B6BD0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7B6BD0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B6BD0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000000" w:rsidRDefault="007B6BD0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6BD0">
      <w:r>
        <w:separator/>
      </w:r>
    </w:p>
  </w:endnote>
  <w:endnote w:type="continuationSeparator" w:id="0">
    <w:p w:rsidR="00000000" w:rsidRDefault="007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6BD0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6BD0">
      <w:r>
        <w:separator/>
      </w:r>
    </w:p>
  </w:footnote>
  <w:footnote w:type="continuationSeparator" w:id="0">
    <w:p w:rsidR="00000000" w:rsidRDefault="007B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A76"/>
    <w:multiLevelType w:val="singleLevel"/>
    <w:tmpl w:val="8F6CA86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56262A66"/>
    <w:multiLevelType w:val="singleLevel"/>
    <w:tmpl w:val="8F6CA86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0"/>
    <w:rsid w:val="007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Ischaemic Heart Disease - Use of Amphetamines or Amphetamine-like Compounds</vt:lpstr>
    </vt:vector>
  </TitlesOfParts>
  <Company>SoftLaw Corporation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Ischaemic Heart Disease - Use of Amphetamines or Amphetamine-like Compounds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2015-04-29T01:19:00Z</dcterms:created>
  <dcterms:modified xsi:type="dcterms:W3CDTF">2015-04-29T01:19:00Z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Ischaemic Heart Disease</vt:lpwstr>
  </property>
  <property fmtid="{D5CDD505-2E9C-101B-9397-08002B2CF9AE}" pid="3" name="Contention">
    <vt:lpwstr>Use of Amphetamines or Amphetamine-like Compounds</vt:lpwstr>
  </property>
  <property fmtid="{D5CDD505-2E9C-101B-9397-08002B2CF9AE}" pid="4" name="ReportType">
    <vt:lpwstr>Claimant</vt:lpwstr>
  </property>
  <property fmtid="{D5CDD505-2E9C-101B-9397-08002B2CF9AE}" pid="5" name="LastModified">
    <vt:lpwstr>22/11/2007</vt:lpwstr>
  </property>
  <property fmtid="{D5CDD505-2E9C-101B-9397-08002B2CF9AE}" pid="6" name="DocumentID">
    <vt:lpwstr>CSCG006CR9285 22/11/2007</vt:lpwstr>
  </property>
  <property fmtid="{D5CDD505-2E9C-101B-9397-08002B2CF9AE}" pid="7" name="ReportNumber">
    <vt:lpwstr>9285</vt:lpwstr>
  </property>
  <property fmtid="{D5CDD505-2E9C-101B-9397-08002B2CF9AE}" pid="8" name="SOP">
    <vt:lpwstr>G006</vt:lpwstr>
  </property>
  <property fmtid="{D5CDD505-2E9C-101B-9397-08002B2CF9AE}" pid="9" name="DocumentName">
    <vt:lpwstr>CR9285</vt:lpwstr>
  </property>
</Properties>
</file>