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B4" w:rsidRDefault="00003A13">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C42B4" w:rsidRDefault="00003A13">
      <w:pPr>
        <w:pStyle w:val="ReportTitle"/>
      </w:pPr>
      <w:bookmarkStart w:id="1" w:name="QuestionnaireTitle"/>
      <w:bookmarkStart w:id="2" w:name="Disclaimer"/>
      <w:bookmarkEnd w:id="0"/>
      <w:r>
        <w:t xml:space="preserve">Claimant Report - </w:t>
      </w:r>
      <w:bookmarkStart w:id="3" w:name="Contention"/>
      <w:bookmarkEnd w:id="1"/>
      <w:bookmarkEnd w:id="3"/>
      <w:r>
        <w:t>Exposure to Specified Organic Solvents</w:t>
      </w:r>
    </w:p>
    <w:p w:rsidR="001C42B4" w:rsidRDefault="00003A13">
      <w:pPr>
        <w:pStyle w:val="ReportTitle"/>
      </w:pPr>
      <w:r>
        <w:t>Erectile Dysfunction</w:t>
      </w:r>
    </w:p>
    <w:p w:rsidR="001C42B4" w:rsidRDefault="00003A13">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1C42B4" w:rsidRDefault="00003A13">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C42B4">
        <w:trPr>
          <w:gridAfter w:val="1"/>
          <w:wAfter w:w="15" w:type="dxa"/>
          <w:cantSplit/>
        </w:trPr>
        <w:tc>
          <w:tcPr>
            <w:tcW w:w="3040" w:type="dxa"/>
            <w:tcBorders>
              <w:top w:val="nil"/>
              <w:left w:val="nil"/>
              <w:bottom w:val="nil"/>
              <w:right w:val="nil"/>
            </w:tcBorders>
          </w:tcPr>
          <w:p w:rsidR="001C42B4" w:rsidRDefault="00003A13">
            <w:pPr>
              <w:rPr>
                <w:b/>
              </w:rPr>
            </w:pPr>
            <w:r>
              <w:rPr>
                <w:b/>
              </w:rPr>
              <w:t>Surname</w:t>
            </w:r>
          </w:p>
        </w:tc>
        <w:tc>
          <w:tcPr>
            <w:tcW w:w="270" w:type="dxa"/>
            <w:tcBorders>
              <w:top w:val="nil"/>
              <w:left w:val="nil"/>
              <w:bottom w:val="nil"/>
              <w:right w:val="nil"/>
            </w:tcBorders>
          </w:tcPr>
          <w:p w:rsidR="001C42B4" w:rsidRDefault="001C42B4">
            <w:pPr>
              <w:rPr>
                <w:b/>
              </w:rPr>
            </w:pPr>
          </w:p>
        </w:tc>
        <w:tc>
          <w:tcPr>
            <w:tcW w:w="3557" w:type="dxa"/>
            <w:gridSpan w:val="2"/>
            <w:tcBorders>
              <w:top w:val="nil"/>
              <w:left w:val="nil"/>
              <w:bottom w:val="nil"/>
              <w:right w:val="nil"/>
            </w:tcBorders>
          </w:tcPr>
          <w:p w:rsidR="001C42B4" w:rsidRDefault="00003A13">
            <w:pPr>
              <w:rPr>
                <w:b/>
              </w:rPr>
            </w:pPr>
            <w:r>
              <w:rPr>
                <w:b/>
              </w:rPr>
              <w:t>Given Names</w:t>
            </w:r>
          </w:p>
        </w:tc>
        <w:tc>
          <w:tcPr>
            <w:tcW w:w="283" w:type="dxa"/>
            <w:gridSpan w:val="2"/>
            <w:tcBorders>
              <w:top w:val="nil"/>
              <w:left w:val="nil"/>
              <w:bottom w:val="nil"/>
              <w:right w:val="nil"/>
            </w:tcBorders>
          </w:tcPr>
          <w:p w:rsidR="001C42B4" w:rsidRDefault="001C42B4">
            <w:pPr>
              <w:rPr>
                <w:b/>
              </w:rPr>
            </w:pPr>
          </w:p>
        </w:tc>
        <w:tc>
          <w:tcPr>
            <w:tcW w:w="2836" w:type="dxa"/>
            <w:gridSpan w:val="2"/>
            <w:tcBorders>
              <w:top w:val="nil"/>
              <w:left w:val="nil"/>
              <w:bottom w:val="nil"/>
              <w:right w:val="nil"/>
            </w:tcBorders>
          </w:tcPr>
          <w:p w:rsidR="001C42B4" w:rsidRDefault="00003A13">
            <w:pPr>
              <w:rPr>
                <w:b/>
              </w:rPr>
            </w:pPr>
            <w:r>
              <w:rPr>
                <w:b/>
              </w:rPr>
              <w:t>DVA File Number</w:t>
            </w:r>
          </w:p>
        </w:tc>
      </w:tr>
      <w:tr w:rsidR="001C42B4">
        <w:trPr>
          <w:cantSplit/>
        </w:trPr>
        <w:tc>
          <w:tcPr>
            <w:tcW w:w="3040" w:type="dxa"/>
            <w:tcBorders>
              <w:top w:val="single" w:sz="6" w:space="0" w:color="auto"/>
              <w:left w:val="single" w:sz="6" w:space="0" w:color="auto"/>
              <w:bottom w:val="single" w:sz="12" w:space="0" w:color="auto"/>
              <w:right w:val="single" w:sz="12" w:space="0" w:color="auto"/>
            </w:tcBorders>
          </w:tcPr>
          <w:p w:rsidR="001C42B4" w:rsidRDefault="001C42B4">
            <w:pPr>
              <w:pStyle w:val="ReportVeteran"/>
            </w:pPr>
          </w:p>
        </w:tc>
        <w:tc>
          <w:tcPr>
            <w:tcW w:w="284" w:type="dxa"/>
            <w:gridSpan w:val="2"/>
            <w:tcBorders>
              <w:top w:val="nil"/>
              <w:left w:val="nil"/>
              <w:bottom w:val="nil"/>
              <w:right w:val="nil"/>
            </w:tcBorders>
          </w:tcPr>
          <w:p w:rsidR="001C42B4" w:rsidRDefault="001C42B4">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C42B4" w:rsidRDefault="001C42B4">
            <w:pPr>
              <w:pStyle w:val="ReportVeteran"/>
            </w:pPr>
          </w:p>
        </w:tc>
        <w:tc>
          <w:tcPr>
            <w:tcW w:w="284" w:type="dxa"/>
            <w:gridSpan w:val="2"/>
            <w:tcBorders>
              <w:top w:val="nil"/>
              <w:left w:val="nil"/>
              <w:bottom w:val="nil"/>
              <w:right w:val="nil"/>
            </w:tcBorders>
          </w:tcPr>
          <w:p w:rsidR="001C42B4" w:rsidRDefault="001C42B4">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C42B4" w:rsidRDefault="001C42B4">
            <w:pPr>
              <w:pStyle w:val="ReportVeteran"/>
            </w:pPr>
          </w:p>
        </w:tc>
      </w:tr>
    </w:tbl>
    <w:p w:rsidR="001C42B4" w:rsidRDefault="00003A13">
      <w:pPr>
        <w:pStyle w:val="ReportSection"/>
      </w:pPr>
      <w:r>
        <w:t>Report Detail</w:t>
      </w:r>
    </w:p>
    <w:p w:rsidR="001C42B4" w:rsidRDefault="00003A13">
      <w:pPr>
        <w:spacing w:before="120"/>
      </w:pPr>
      <w:bookmarkStart w:id="4" w:name="ReportBody"/>
      <w:bookmarkStart w:id="5" w:name="Preamble"/>
      <w:bookmarkEnd w:id="4"/>
      <w:bookmarkEnd w:id="5"/>
      <w:r>
        <w:t>For the purposes of the Statement of Principles for erectile dysfunction the RMA has defined organic solvents as meaning aromatic hydrocarbon solvents; ketones; acetates; or carbon disulphide.  These are specific types of organic solvents; other types of organic solvents are excluded from this group.</w:t>
      </w:r>
    </w:p>
    <w:p w:rsidR="001C42B4" w:rsidRDefault="00003A13">
      <w:pPr>
        <w:spacing w:before="240" w:after="120"/>
        <w:rPr>
          <w:i/>
        </w:rPr>
      </w:pPr>
      <w:r>
        <w:rPr>
          <w:i/>
        </w:rPr>
        <w:t xml:space="preserve">These organic solvents are used to dissolve oils, fats, resins, rubber, and plastics. White spirit and mineral turpentine are perhaps the most common household examples.  People working with benzene, paints (including paint strippers and paint thinners), enamels, varnishes, shellacs and lacquers; fumigants and pesticides; adhesives; resins; printing inks; or rubber solvents, </w:t>
      </w:r>
      <w:r>
        <w:rPr>
          <w:b/>
          <w:i/>
        </w:rPr>
        <w:t xml:space="preserve">may </w:t>
      </w:r>
      <w:r>
        <w:rPr>
          <w:i/>
        </w:rPr>
        <w:t>have been exposed to these organic solvents – it will depend on the nature of the work or the types of chemicals used.</w:t>
      </w:r>
    </w:p>
    <w:p w:rsidR="001C42B4" w:rsidRDefault="00003A13">
      <w:pPr>
        <w:spacing w:before="120" w:after="240"/>
        <w:ind w:left="567" w:hanging="567"/>
        <w:rPr>
          <w:i/>
        </w:rPr>
      </w:pPr>
      <w:r>
        <w:t>1.</w:t>
      </w:r>
      <w:r>
        <w:tab/>
        <w:t xml:space="preserve">When were the first signs and symptoms of erectile dysfunction? </w:t>
      </w:r>
      <w:r>
        <w:rPr>
          <w:i/>
        </w:rPr>
        <w:t xml:space="preserve"> (Please be as specific as possible)</w:t>
      </w:r>
    </w:p>
    <w:tbl>
      <w:tblPr>
        <w:tblW w:w="0" w:type="auto"/>
        <w:jc w:val="center"/>
        <w:tblLayout w:type="fixed"/>
        <w:tblLook w:val="0000" w:firstRow="0" w:lastRow="0" w:firstColumn="0" w:lastColumn="0" w:noHBand="0" w:noVBand="0"/>
      </w:tblPr>
      <w:tblGrid>
        <w:gridCol w:w="10031"/>
      </w:tblGrid>
      <w:tr w:rsidR="001C42B4">
        <w:trPr>
          <w:jc w:val="center"/>
        </w:trPr>
        <w:tc>
          <w:tcPr>
            <w:tcW w:w="10031" w:type="dxa"/>
            <w:tcBorders>
              <w:top w:val="single" w:sz="6" w:space="0" w:color="C0C0C0"/>
              <w:left w:val="single" w:sz="6" w:space="0" w:color="C0C0C0"/>
              <w:bottom w:val="single" w:sz="6" w:space="0" w:color="C0C0C0"/>
              <w:right w:val="single" w:sz="6" w:space="0" w:color="C0C0C0"/>
            </w:tcBorders>
          </w:tcPr>
          <w:p w:rsidR="001C42B4" w:rsidRDefault="001C42B4">
            <w:pPr>
              <w:spacing w:before="240"/>
            </w:pPr>
          </w:p>
        </w:tc>
      </w:tr>
      <w:tr w:rsidR="001C42B4">
        <w:trPr>
          <w:jc w:val="center"/>
        </w:trPr>
        <w:tc>
          <w:tcPr>
            <w:tcW w:w="1003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rPr>
                <w:b/>
              </w:rPr>
            </w:pPr>
            <w:r>
              <w:tab/>
            </w:r>
            <w:r>
              <w:rPr>
                <w:b/>
              </w:rPr>
              <w:t>/</w:t>
            </w:r>
            <w:r>
              <w:rPr>
                <w:b/>
              </w:rPr>
              <w:tab/>
              <w:t>/</w:t>
            </w:r>
          </w:p>
        </w:tc>
      </w:tr>
    </w:tbl>
    <w:p w:rsidR="001C42B4" w:rsidRDefault="00003A13">
      <w:pPr>
        <w:spacing w:before="240" w:after="120"/>
        <w:ind w:left="567" w:hanging="567"/>
      </w:pPr>
      <w:r>
        <w:t>2.</w:t>
      </w:r>
      <w:r>
        <w:tab/>
        <w:t>Was there any exposure to the specified organic solvents within the 2 years immediately before erectile dysfunction first developed?</w:t>
      </w:r>
    </w:p>
    <w:p w:rsidR="001C42B4" w:rsidRDefault="00003A13">
      <w:pPr>
        <w:spacing w:before="120"/>
        <w:ind w:left="1135" w:hanging="567"/>
        <w:rPr>
          <w:i/>
        </w:rPr>
      </w:pPr>
      <w:r>
        <w:rPr>
          <w:rFonts w:ascii="Wingdings" w:hAnsi="Wingdings"/>
          <w:sz w:val="31"/>
        </w:rPr>
        <w:t></w:t>
      </w:r>
      <w:r>
        <w:rPr>
          <w:rFonts w:ascii="Wingdings" w:hAnsi="Wingdings"/>
          <w:sz w:val="31"/>
        </w:rPr>
        <w:tab/>
      </w:r>
      <w:r>
        <w:rPr>
          <w:b/>
        </w:rPr>
        <w:t xml:space="preserve">No </w:t>
      </w:r>
    </w:p>
    <w:p w:rsidR="001C42B4" w:rsidRDefault="00003A13">
      <w:pPr>
        <w:ind w:left="1134" w:hanging="567"/>
        <w:rPr>
          <w:b/>
        </w:rPr>
      </w:pPr>
      <w:r>
        <w:rPr>
          <w:rFonts w:ascii="Wingdings" w:hAnsi="Wingdings"/>
          <w:sz w:val="31"/>
        </w:rPr>
        <w:t></w:t>
      </w:r>
      <w:r>
        <w:tab/>
      </w:r>
      <w:r>
        <w:rPr>
          <w:b/>
        </w:rPr>
        <w:t>Yes</w:t>
      </w:r>
    </w:p>
    <w:p w:rsidR="001C42B4" w:rsidRDefault="00003A13">
      <w:pPr>
        <w:widowControl w:val="0"/>
        <w:spacing w:before="120" w:after="240"/>
        <w:ind w:left="567" w:hanging="567"/>
      </w:pPr>
      <w:r>
        <w:br w:type="page"/>
      </w:r>
      <w:r>
        <w:lastRenderedPageBreak/>
        <w:t>3.</w:t>
      </w:r>
      <w:r>
        <w:tab/>
        <w:t xml:space="preserve">Please list all such exposures to these organic solvents, the activities that were being performed at the time, and the frequency of the activity during the period of exposure. </w:t>
      </w:r>
      <w:r>
        <w:rPr>
          <w:b/>
          <w:i/>
        </w:rPr>
        <w:t xml:space="preserve">Please be as specific as possible </w:t>
      </w:r>
      <w:proofErr w:type="spellStart"/>
      <w:r>
        <w:t>eg</w:t>
      </w:r>
      <w:proofErr w:type="spellEnd"/>
      <w:r>
        <w:t xml:space="preserve"> cleaning engines 4 days a week.</w:t>
      </w:r>
    </w:p>
    <w:tbl>
      <w:tblPr>
        <w:tblW w:w="0" w:type="auto"/>
        <w:jc w:val="center"/>
        <w:tblLayout w:type="fixed"/>
        <w:tblLook w:val="0000" w:firstRow="0" w:lastRow="0" w:firstColumn="0" w:lastColumn="0" w:noHBand="0" w:noVBand="0"/>
      </w:tblPr>
      <w:tblGrid>
        <w:gridCol w:w="1571"/>
        <w:gridCol w:w="2835"/>
        <w:gridCol w:w="3969"/>
        <w:gridCol w:w="1858"/>
      </w:tblGrid>
      <w:tr w:rsidR="001C42B4">
        <w:trPr>
          <w:jc w:val="center"/>
        </w:trPr>
        <w:tc>
          <w:tcPr>
            <w:tcW w:w="1571"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Period</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Name of the organic solvent or product brand name being used</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Activity</w:t>
            </w:r>
          </w:p>
        </w:tc>
        <w:tc>
          <w:tcPr>
            <w:tcW w:w="1858"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How many days per week</w:t>
            </w:r>
          </w:p>
        </w:tc>
      </w:tr>
      <w:tr w:rsidR="001C42B4">
        <w:trPr>
          <w:trHeight w:val="1247"/>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12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12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120"/>
            </w:pPr>
          </w:p>
        </w:tc>
      </w:tr>
      <w:tr w:rsidR="001C42B4">
        <w:trPr>
          <w:trHeight w:val="1247"/>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r>
      <w:tr w:rsidR="001C42B4">
        <w:trPr>
          <w:trHeight w:val="1247"/>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r>
      <w:tr w:rsidR="001C42B4">
        <w:trPr>
          <w:trHeight w:val="1247"/>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r>
    </w:tbl>
    <w:p w:rsidR="001C42B4" w:rsidRDefault="00003A13">
      <w:pPr>
        <w:pStyle w:val="ReportQuestion"/>
      </w:pPr>
      <w:r>
        <w:br w:type="page"/>
      </w:r>
      <w:r>
        <w:lastRenderedPageBreak/>
        <w:t>4.</w:t>
      </w:r>
      <w:r>
        <w:tab/>
        <w:t xml:space="preserve">Did the erectile dysfunction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1C42B4" w:rsidRDefault="00003A13">
      <w:pPr>
        <w:pStyle w:val="ReportCheckbox"/>
        <w:ind w:left="1134"/>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1C42B4" w:rsidRDefault="00003A13">
      <w:pPr>
        <w:pStyle w:val="ReportCheckbox"/>
        <w:spacing w:after="360"/>
        <w:ind w:left="1134"/>
        <w:rPr>
          <w:i/>
        </w:rPr>
      </w:pPr>
      <w:r>
        <w:rPr>
          <w:rFonts w:ascii="Wingdings" w:hAnsi="Wingdings"/>
          <w:sz w:val="32"/>
        </w:rPr>
        <w:t></w:t>
      </w:r>
      <w:r>
        <w:tab/>
      </w:r>
      <w:r>
        <w:rPr>
          <w:b/>
        </w:rPr>
        <w:t xml:space="preserve">Yes </w:t>
      </w:r>
      <w:r>
        <w:t>– Please provide details, including date of worsening</w:t>
      </w:r>
    </w:p>
    <w:tbl>
      <w:tblPr>
        <w:tblW w:w="0" w:type="auto"/>
        <w:jc w:val="center"/>
        <w:tblLayout w:type="fixed"/>
        <w:tblLook w:val="0000" w:firstRow="0" w:lastRow="0" w:firstColumn="0" w:lastColumn="0" w:noHBand="0" w:noVBand="0"/>
      </w:tblPr>
      <w:tblGrid>
        <w:gridCol w:w="10145"/>
      </w:tblGrid>
      <w:tr w:rsidR="001C42B4">
        <w:trPr>
          <w:cantSplit/>
          <w:trHeight w:val="552"/>
          <w:jc w:val="center"/>
        </w:trPr>
        <w:tc>
          <w:tcPr>
            <w:tcW w:w="10145" w:type="dxa"/>
            <w:tcBorders>
              <w:top w:val="single" w:sz="6" w:space="0" w:color="C0C0C0"/>
              <w:left w:val="single" w:sz="6" w:space="0" w:color="C0C0C0"/>
              <w:bottom w:val="single" w:sz="6" w:space="0" w:color="C0C0C0"/>
              <w:right w:val="single" w:sz="6" w:space="0" w:color="C0C0C0"/>
            </w:tcBorders>
          </w:tcPr>
          <w:p w:rsidR="001C42B4" w:rsidRDefault="00003A13">
            <w:pPr>
              <w:pStyle w:val="ReportAnswerBox"/>
              <w:jc w:val="right"/>
            </w:pPr>
            <w:r>
              <w:t>………./………./……….</w:t>
            </w:r>
          </w:p>
        </w:tc>
      </w:tr>
    </w:tbl>
    <w:p w:rsidR="001C42B4" w:rsidRDefault="00003A13">
      <w:pPr>
        <w:spacing w:before="240" w:after="120"/>
        <w:ind w:left="567" w:hanging="567"/>
      </w:pPr>
      <w:r>
        <w:t>5.</w:t>
      </w:r>
      <w:r>
        <w:tab/>
        <w:t>Was there any exposure to the specified organic solvents within the 2 years immediately before erectile dysfunction permanently worsened?</w:t>
      </w:r>
    </w:p>
    <w:p w:rsidR="001C42B4" w:rsidRDefault="00003A13">
      <w:pPr>
        <w:ind w:left="1134" w:hanging="567"/>
        <w:rPr>
          <w:i/>
        </w:rPr>
      </w:pPr>
      <w:r>
        <w:rPr>
          <w:rFonts w:ascii="Wingdings" w:hAnsi="Wingdings"/>
          <w:sz w:val="31"/>
        </w:rPr>
        <w:t></w:t>
      </w:r>
      <w:r>
        <w:rPr>
          <w:rFonts w:ascii="Wingdings" w:hAnsi="Wingdings"/>
          <w:sz w:val="31"/>
        </w:rPr>
        <w:tab/>
      </w:r>
      <w:r>
        <w:rPr>
          <w:b/>
        </w:rPr>
        <w:t xml:space="preserve">No - </w:t>
      </w:r>
      <w:r>
        <w:rPr>
          <w:i/>
        </w:rPr>
        <w:t>Please sign the form and return it to the Department</w:t>
      </w:r>
    </w:p>
    <w:p w:rsidR="001C42B4" w:rsidRDefault="00003A13">
      <w:pPr>
        <w:ind w:left="1135" w:hanging="567"/>
        <w:rPr>
          <w:b/>
        </w:rPr>
      </w:pPr>
      <w:r>
        <w:rPr>
          <w:rFonts w:ascii="Wingdings" w:hAnsi="Wingdings"/>
          <w:sz w:val="31"/>
        </w:rPr>
        <w:t></w:t>
      </w:r>
      <w:r>
        <w:tab/>
      </w:r>
      <w:r>
        <w:rPr>
          <w:b/>
        </w:rPr>
        <w:t>Yes</w:t>
      </w:r>
    </w:p>
    <w:p w:rsidR="001C42B4" w:rsidRDefault="00003A13">
      <w:pPr>
        <w:widowControl w:val="0"/>
        <w:spacing w:before="240" w:after="120"/>
        <w:ind w:left="567" w:hanging="567"/>
      </w:pPr>
      <w:r>
        <w:t>6.</w:t>
      </w:r>
      <w:r>
        <w:tab/>
        <w:t xml:space="preserve">Please list all such exposures to these organic solvents, the activities that were being performed at the time, and the frequency of the activity during the period of exposure. </w:t>
      </w:r>
      <w:r>
        <w:rPr>
          <w:b/>
          <w:i/>
        </w:rPr>
        <w:t xml:space="preserve">Please be as specific as possible </w:t>
      </w:r>
      <w:proofErr w:type="spellStart"/>
      <w:r>
        <w:t>eg</w:t>
      </w:r>
      <w:proofErr w:type="spellEnd"/>
      <w:r>
        <w:t xml:space="preserve"> cleaning engines 4 days a week.</w:t>
      </w:r>
    </w:p>
    <w:tbl>
      <w:tblPr>
        <w:tblW w:w="0" w:type="auto"/>
        <w:jc w:val="center"/>
        <w:tblLayout w:type="fixed"/>
        <w:tblLook w:val="0000" w:firstRow="0" w:lastRow="0" w:firstColumn="0" w:lastColumn="0" w:noHBand="0" w:noVBand="0"/>
      </w:tblPr>
      <w:tblGrid>
        <w:gridCol w:w="1571"/>
        <w:gridCol w:w="2835"/>
        <w:gridCol w:w="3969"/>
        <w:gridCol w:w="1858"/>
      </w:tblGrid>
      <w:tr w:rsidR="001C42B4">
        <w:trPr>
          <w:jc w:val="center"/>
        </w:trPr>
        <w:tc>
          <w:tcPr>
            <w:tcW w:w="1571"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Period</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Name of the organic solvent or product brand name being used</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Activity</w:t>
            </w:r>
          </w:p>
        </w:tc>
        <w:tc>
          <w:tcPr>
            <w:tcW w:w="1858" w:type="dxa"/>
            <w:tcBorders>
              <w:top w:val="single" w:sz="6" w:space="0" w:color="C0C0C0"/>
              <w:left w:val="single" w:sz="6" w:space="0" w:color="C0C0C0"/>
              <w:bottom w:val="single" w:sz="6" w:space="0" w:color="C0C0C0"/>
              <w:right w:val="single" w:sz="6" w:space="0" w:color="C0C0C0"/>
            </w:tcBorders>
            <w:shd w:val="clear" w:color="auto" w:fill="FFFFFF"/>
          </w:tcPr>
          <w:p w:rsidR="001C42B4" w:rsidRDefault="00003A13">
            <w:pPr>
              <w:tabs>
                <w:tab w:val="left" w:pos="8647"/>
                <w:tab w:val="left" w:pos="9214"/>
              </w:tabs>
              <w:spacing w:before="120" w:after="120"/>
              <w:jc w:val="center"/>
              <w:rPr>
                <w:b/>
              </w:rPr>
            </w:pPr>
            <w:r>
              <w:rPr>
                <w:b/>
              </w:rPr>
              <w:t>How many days per week</w:t>
            </w:r>
          </w:p>
        </w:tc>
      </w:tr>
      <w:tr w:rsidR="001C42B4">
        <w:trPr>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r>
      <w:tr w:rsidR="001C42B4">
        <w:trPr>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tabs>
                <w:tab w:val="left" w:pos="8647"/>
                <w:tab w:val="left" w:pos="9214"/>
              </w:tabs>
              <w:spacing w:before="240" w:after="240"/>
            </w:pPr>
          </w:p>
        </w:tc>
      </w:tr>
      <w:tr w:rsidR="001C42B4">
        <w:trPr>
          <w:jc w:val="center"/>
        </w:trPr>
        <w:tc>
          <w:tcPr>
            <w:tcW w:w="1571" w:type="dxa"/>
            <w:tcBorders>
              <w:top w:val="single" w:sz="6" w:space="0" w:color="C0C0C0"/>
              <w:left w:val="single" w:sz="6" w:space="0" w:color="C0C0C0"/>
              <w:bottom w:val="single" w:sz="6" w:space="0" w:color="C0C0C0"/>
              <w:right w:val="single" w:sz="6" w:space="0" w:color="C0C0C0"/>
            </w:tcBorders>
          </w:tcPr>
          <w:p w:rsidR="001C42B4" w:rsidRDefault="00003A13">
            <w:pPr>
              <w:tabs>
                <w:tab w:val="left" w:pos="8647"/>
                <w:tab w:val="left" w:pos="9214"/>
              </w:tabs>
              <w:spacing w:before="240" w:after="240"/>
            </w:pPr>
            <w:r>
              <w:t xml:space="preserve">      /      /       to</w:t>
            </w:r>
            <w:r>
              <w:br/>
              <w:t xml:space="preserve">      /       /</w:t>
            </w:r>
          </w:p>
        </w:tc>
        <w:tc>
          <w:tcPr>
            <w:tcW w:w="2835"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c>
          <w:tcPr>
            <w:tcW w:w="3969"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c>
          <w:tcPr>
            <w:tcW w:w="1858" w:type="dxa"/>
            <w:tcBorders>
              <w:top w:val="single" w:sz="6" w:space="0" w:color="C0C0C0"/>
              <w:left w:val="single" w:sz="6" w:space="0" w:color="C0C0C0"/>
              <w:bottom w:val="single" w:sz="6" w:space="0" w:color="C0C0C0"/>
              <w:right w:val="single" w:sz="6" w:space="0" w:color="C0C0C0"/>
            </w:tcBorders>
          </w:tcPr>
          <w:p w:rsidR="001C42B4" w:rsidRDefault="001C42B4">
            <w:pPr>
              <w:spacing w:before="240" w:after="240"/>
            </w:pPr>
          </w:p>
        </w:tc>
      </w:tr>
    </w:tbl>
    <w:p w:rsidR="001C42B4" w:rsidRDefault="001C42B4">
      <w:pPr>
        <w:rPr>
          <w:sz w:val="16"/>
        </w:rPr>
      </w:pPr>
      <w:bookmarkStart w:id="6" w:name="_GoBack"/>
      <w:bookmarkEnd w:id="6"/>
    </w:p>
    <w:p w:rsidR="001C42B4" w:rsidRDefault="00003A13">
      <w:pPr>
        <w:pStyle w:val="ReportSection"/>
        <w:framePr w:hSpace="181" w:wrap="notBeside" w:hAnchor="margin" w:yAlign="bottom"/>
      </w:pPr>
      <w:bookmarkStart w:id="7" w:name="SignatureBlock"/>
      <w:r>
        <w:t>Claimant's Signature</w:t>
      </w:r>
    </w:p>
    <w:p w:rsidR="001C42B4" w:rsidRDefault="00003A13">
      <w:pPr>
        <w:framePr w:hSpace="181" w:wrap="notBeside" w:hAnchor="margin" w:yAlign="bottom"/>
        <w:rPr>
          <w:b/>
          <w:i/>
        </w:rPr>
      </w:pPr>
      <w:r>
        <w:rPr>
          <w:b/>
          <w:i/>
        </w:rPr>
        <w:t>You are reminded that:</w:t>
      </w:r>
    </w:p>
    <w:p w:rsidR="001C42B4" w:rsidRDefault="00003A13" w:rsidP="00003A13">
      <w:pPr>
        <w:framePr w:hSpace="181" w:wrap="notBeside" w:hAnchor="margin" w:yAlign="bottom"/>
        <w:numPr>
          <w:ilvl w:val="0"/>
          <w:numId w:val="1"/>
        </w:numPr>
      </w:pPr>
      <w:r>
        <w:t>The Declaration you signed on the claim form also covers the information you supply on this form.</w:t>
      </w:r>
    </w:p>
    <w:p w:rsidR="001C42B4" w:rsidRDefault="00003A13" w:rsidP="00003A13">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1C42B4">
        <w:trPr>
          <w:cantSplit/>
        </w:trPr>
        <w:tc>
          <w:tcPr>
            <w:tcW w:w="6288" w:type="dxa"/>
            <w:tcBorders>
              <w:top w:val="single" w:sz="6" w:space="0" w:color="auto"/>
              <w:left w:val="single" w:sz="6" w:space="0" w:color="auto"/>
              <w:bottom w:val="nil"/>
              <w:right w:val="single" w:sz="12" w:space="0" w:color="auto"/>
            </w:tcBorders>
          </w:tcPr>
          <w:p w:rsidR="001C42B4" w:rsidRDefault="001C42B4">
            <w:pPr>
              <w:framePr w:hSpace="181" w:wrap="notBeside" w:hAnchor="margin" w:yAlign="bottom"/>
            </w:pPr>
          </w:p>
        </w:tc>
      </w:tr>
      <w:tr w:rsidR="001C42B4">
        <w:trPr>
          <w:cantSplit/>
        </w:trPr>
        <w:tc>
          <w:tcPr>
            <w:tcW w:w="6288" w:type="dxa"/>
            <w:tcBorders>
              <w:top w:val="nil"/>
              <w:left w:val="single" w:sz="6" w:space="0" w:color="auto"/>
              <w:bottom w:val="single" w:sz="12" w:space="0" w:color="auto"/>
              <w:right w:val="single" w:sz="12" w:space="0" w:color="auto"/>
            </w:tcBorders>
          </w:tcPr>
          <w:p w:rsidR="001C42B4" w:rsidRDefault="00003A13">
            <w:pPr>
              <w:framePr w:hSpace="181" w:wrap="notBeside" w:hAnchor="margin" w:yAlign="bottom"/>
              <w:tabs>
                <w:tab w:val="left" w:pos="5103"/>
                <w:tab w:val="left" w:pos="5671"/>
              </w:tabs>
              <w:rPr>
                <w:b/>
              </w:rPr>
            </w:pPr>
            <w:r>
              <w:rPr>
                <w:b/>
              </w:rPr>
              <w:tab/>
              <w:t>/</w:t>
            </w:r>
            <w:r>
              <w:rPr>
                <w:b/>
              </w:rPr>
              <w:tab/>
              <w:t>/</w:t>
            </w:r>
          </w:p>
        </w:tc>
      </w:tr>
      <w:bookmarkEnd w:id="7"/>
    </w:tbl>
    <w:p w:rsidR="001C42B4" w:rsidRDefault="001C42B4"/>
    <w:sectPr w:rsidR="001C42B4">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B4" w:rsidRDefault="00003A13">
      <w:r>
        <w:separator/>
      </w:r>
    </w:p>
  </w:endnote>
  <w:endnote w:type="continuationSeparator" w:id="0">
    <w:p w:rsidR="001C42B4" w:rsidRDefault="0000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B4" w:rsidRDefault="00003A13">
    <w:pPr>
      <w:pStyle w:val="ReportFooter"/>
    </w:pPr>
    <w:r>
      <w:fldChar w:fldCharType="begin"/>
    </w:r>
    <w:r>
      <w:instrText xml:space="preserve"> keywords </w:instrText>
    </w:r>
    <w:r>
      <w:fldChar w:fldCharType="end"/>
    </w:r>
    <w:r>
      <w:tab/>
      <w:t>CSCK010CR9253 7/09/2005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B4" w:rsidRDefault="00003A13">
      <w:r>
        <w:separator/>
      </w:r>
    </w:p>
  </w:footnote>
  <w:footnote w:type="continuationSeparator" w:id="0">
    <w:p w:rsidR="001C42B4" w:rsidRDefault="0000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5D41"/>
    <w:multiLevelType w:val="singleLevel"/>
    <w:tmpl w:val="88B86232"/>
    <w:lvl w:ilvl="0">
      <w:start w:val="1"/>
      <w:numFmt w:val="none"/>
      <w:lvlText w:val=""/>
      <w:legacy w:legacy="1" w:legacySpace="0" w:legacyIndent="283"/>
      <w:lvlJc w:val="left"/>
      <w:pPr>
        <w:ind w:left="283" w:hanging="283"/>
      </w:pPr>
      <w:rPr>
        <w:rFonts w:ascii="Symbol" w:hAnsi="Symbol" w:hint="default"/>
      </w:rPr>
    </w:lvl>
  </w:abstractNum>
  <w:abstractNum w:abstractNumId="1">
    <w:nsid w:val="4755527A"/>
    <w:multiLevelType w:val="singleLevel"/>
    <w:tmpl w:val="88B86232"/>
    <w:lvl w:ilvl="0">
      <w:start w:val="1"/>
      <w:numFmt w:val="none"/>
      <w:lvlText w:val=""/>
      <w:legacy w:legacy="1" w:legacySpace="0" w:legacyIndent="283"/>
      <w:lvlJc w:val="left"/>
      <w:pPr>
        <w:ind w:left="283" w:hanging="28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13"/>
    <w:rsid w:val="00003A13"/>
    <w:rsid w:val="001C42B4"/>
    <w:rsid w:val="00933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3</Pages>
  <Words>544</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Exposure to Specified Organic Solvents - Erectile Dysfunction</vt:lpstr>
    </vt:vector>
  </TitlesOfParts>
  <Company>SoftLaw Corporation</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to Specified Organic Solvents - Erectile Dysfunction</dc:title>
  <dc:subject>Questionnaires</dc:subject>
  <dc:creator>SoftLaw Corporation</dc:creator>
  <cp:lastModifiedBy>CMANGN</cp:lastModifiedBy>
  <cp:revision>3</cp:revision>
  <cp:lastPrinted>2015-06-10T04:25:00Z</cp:lastPrinted>
  <dcterms:created xsi:type="dcterms:W3CDTF">2015-04-29T00:37:00Z</dcterms:created>
  <dcterms:modified xsi:type="dcterms:W3CDTF">2015-06-10T04:25:00Z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Exposure to Specified Organic Solvents</vt:lpwstr>
  </property>
  <property fmtid="{D5CDD505-2E9C-101B-9397-08002B2CF9AE}" pid="3" name="Contention">
    <vt:lpwstr>Erectile Dysfunction</vt:lpwstr>
  </property>
  <property fmtid="{D5CDD505-2E9C-101B-9397-08002B2CF9AE}" pid="4" name="ReportType">
    <vt:lpwstr>Claimant</vt:lpwstr>
  </property>
  <property fmtid="{D5CDD505-2E9C-101B-9397-08002B2CF9AE}" pid="5" name="LastModified">
    <vt:lpwstr>7/09/2005</vt:lpwstr>
  </property>
  <property fmtid="{D5CDD505-2E9C-101B-9397-08002B2CF9AE}" pid="6" name="DocumentID">
    <vt:lpwstr>CSCK010CR9253 7/09/2005</vt:lpwstr>
  </property>
  <property fmtid="{D5CDD505-2E9C-101B-9397-08002B2CF9AE}" pid="7" name="ReportNumber">
    <vt:lpwstr>9253</vt:lpwstr>
  </property>
  <property fmtid="{D5CDD505-2E9C-101B-9397-08002B2CF9AE}" pid="8" name="SOP">
    <vt:lpwstr>K010</vt:lpwstr>
  </property>
  <property fmtid="{D5CDD505-2E9C-101B-9397-08002B2CF9AE}" pid="9" name="DocumentName">
    <vt:lpwstr>CR9253</vt:lpwstr>
  </property>
</Properties>
</file>