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73D3">
      <w:pPr>
        <w:framePr w:hSpace="181" w:wrap="notBeside" w:vAnchor="page" w:hAnchor="margin" w:x="1" w:y="749"/>
      </w:pPr>
      <w:bookmarkStart w:id="0" w:name="DVAHead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000000" w:rsidRDefault="001773D3">
      <w:pPr>
        <w:pStyle w:val="ReportTitle"/>
      </w:pPr>
      <w:r>
        <w:t>Claimant Report – Exposure to Arsenic</w:t>
      </w:r>
    </w:p>
    <w:p w:rsidR="00000000" w:rsidRDefault="001773D3">
      <w:pPr>
        <w:pStyle w:val="ReportTitle"/>
      </w:pPr>
      <w:bookmarkStart w:id="1" w:name="Condition"/>
      <w:bookmarkEnd w:id="1"/>
    </w:p>
    <w:p w:rsidR="00000000" w:rsidRDefault="001773D3">
      <w:pPr>
        <w:pStyle w:val="ReportPrivacy"/>
      </w:pPr>
      <w:bookmarkStart w:id="2" w:name="Disclaimer"/>
      <w:bookmarkEnd w:id="0"/>
      <w:r>
        <w:t>This form is in connection with your claim for pension and medical treatment and the information you supply will assist in deciding eligibility for benefits under the Veterans' E</w:t>
      </w:r>
      <w:r>
        <w:t>ntitlements Act 1986 and/or Military Rehabilitation and Compensation Act 2004.   In the event of an appeal against a decision, this information may be provided to the Veterans' Review Board, Administrative Appeals Tribunal or Federal Court.</w:t>
      </w:r>
    </w:p>
    <w:bookmarkEnd w:id="2"/>
    <w:p w:rsidR="00000000" w:rsidRDefault="001773D3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73D3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73D3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73D3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73D3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73D3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773D3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73D3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773D3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73D3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773D3">
            <w:pPr>
              <w:pStyle w:val="ReportVeteran"/>
            </w:pPr>
          </w:p>
        </w:tc>
      </w:tr>
    </w:tbl>
    <w:p w:rsidR="00000000" w:rsidRDefault="001773D3">
      <w:pPr>
        <w:pStyle w:val="ReportSection"/>
      </w:pPr>
      <w:r>
        <w:t>Report Detail</w:t>
      </w:r>
    </w:p>
    <w:p w:rsidR="00000000" w:rsidRDefault="001773D3">
      <w:pPr>
        <w:spacing w:after="120"/>
        <w:ind w:left="567" w:hanging="567"/>
        <w:rPr>
          <w:i/>
        </w:rPr>
      </w:pPr>
      <w:bookmarkStart w:id="3" w:name="ReportBody"/>
      <w:bookmarkStart w:id="4" w:name="Preamble"/>
      <w:bookmarkEnd w:id="3"/>
      <w:bookmarkEnd w:id="4"/>
      <w:r>
        <w:t>1.</w:t>
      </w:r>
      <w:r>
        <w:tab/>
        <w:t xml:space="preserve">Is there a history, </w:t>
      </w:r>
      <w:r>
        <w:rPr>
          <w:b/>
        </w:rPr>
        <w:t>at any time</w:t>
      </w:r>
      <w:r>
        <w:t xml:space="preserve"> (service periods as well as non-service periods), of exposure to arsenic?</w:t>
      </w:r>
    </w:p>
    <w:p w:rsidR="00000000" w:rsidRDefault="001773D3">
      <w:pPr>
        <w:pStyle w:val="ReportCheckbox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</w:t>
      </w:r>
      <w:r>
        <w:rPr>
          <w:i/>
        </w:rPr>
        <w:t xml:space="preserve"> return it to the Department</w:t>
      </w:r>
    </w:p>
    <w:p w:rsidR="00000000" w:rsidRDefault="001773D3" w:rsidP="001773D3">
      <w:pPr>
        <w:pStyle w:val="ReportCheckbox"/>
        <w:numPr>
          <w:ilvl w:val="0"/>
          <w:numId w:val="1"/>
        </w:numPr>
        <w:tabs>
          <w:tab w:val="left" w:pos="567"/>
          <w:tab w:val="left" w:pos="1137"/>
        </w:tabs>
        <w:spacing w:after="120"/>
        <w:ind w:left="1140" w:hanging="573"/>
      </w:pPr>
      <w:r>
        <w:rPr>
          <w:b/>
        </w:rPr>
        <w:t xml:space="preserve">Yes </w:t>
      </w:r>
      <w:bookmarkStart w:id="5" w:name="_GoBack"/>
      <w:bookmarkEnd w:id="5"/>
    </w:p>
    <w:p w:rsidR="00000000" w:rsidRDefault="001773D3" w:rsidP="001773D3">
      <w:pPr>
        <w:pStyle w:val="ReportQuestion"/>
        <w:numPr>
          <w:ilvl w:val="12"/>
          <w:numId w:val="0"/>
        </w:numPr>
        <w:spacing w:before="0" w:after="180"/>
        <w:ind w:left="567" w:hanging="567"/>
      </w:pPr>
      <w:r>
        <w:t>2.</w:t>
      </w:r>
      <w:r>
        <w:tab/>
        <w:t>Please tick the relevant arsenic exposure and describe the circumstances of how it occurred:</w:t>
      </w:r>
    </w:p>
    <w:p w:rsidR="00000000" w:rsidRDefault="001773D3" w:rsidP="001773D3">
      <w:pPr>
        <w:pStyle w:val="ReportCheckbox"/>
        <w:numPr>
          <w:ilvl w:val="0"/>
          <w:numId w:val="1"/>
        </w:numPr>
        <w:tabs>
          <w:tab w:val="left" w:pos="1137"/>
        </w:tabs>
        <w:ind w:left="1140" w:hanging="573"/>
      </w:pPr>
      <w:r>
        <w:t>consuming arsenic containing compounds (eg Fowler’s solution)</w:t>
      </w:r>
    </w:p>
    <w:p w:rsidR="00000000" w:rsidRDefault="001773D3" w:rsidP="001773D3">
      <w:pPr>
        <w:pStyle w:val="ReportCheckbox"/>
        <w:numPr>
          <w:ilvl w:val="0"/>
          <w:numId w:val="1"/>
        </w:numPr>
        <w:tabs>
          <w:tab w:val="left" w:pos="1137"/>
        </w:tabs>
        <w:ind w:left="1140" w:hanging="573"/>
      </w:pPr>
      <w:r>
        <w:t>consuming drinking water with arsenic content higher that 0.05ppm (50 mg/l)</w:t>
      </w:r>
    </w:p>
    <w:p w:rsidR="00000000" w:rsidRDefault="001773D3" w:rsidP="001773D3">
      <w:pPr>
        <w:pStyle w:val="ReportCheckbox"/>
        <w:numPr>
          <w:ilvl w:val="0"/>
          <w:numId w:val="1"/>
        </w:numPr>
        <w:tabs>
          <w:tab w:val="left" w:pos="1137"/>
        </w:tabs>
        <w:ind w:left="1140" w:hanging="573"/>
      </w:pPr>
      <w:r>
        <w:t>being involved in the manufacture of pesticides containing arsenic</w:t>
      </w:r>
    </w:p>
    <w:p w:rsidR="00000000" w:rsidRDefault="001773D3" w:rsidP="001773D3">
      <w:pPr>
        <w:numPr>
          <w:ilvl w:val="0"/>
          <w:numId w:val="1"/>
        </w:numPr>
        <w:tabs>
          <w:tab w:val="left" w:pos="1137"/>
        </w:tabs>
        <w:ind w:left="1140" w:hanging="573"/>
      </w:pPr>
      <w:r>
        <w:t>handling pesticides containing arsenic</w:t>
      </w:r>
    </w:p>
    <w:p w:rsidR="00000000" w:rsidRDefault="001773D3" w:rsidP="001773D3">
      <w:pPr>
        <w:numPr>
          <w:ilvl w:val="0"/>
          <w:numId w:val="1"/>
        </w:numPr>
        <w:tabs>
          <w:tab w:val="left" w:pos="1137"/>
        </w:tabs>
        <w:spacing w:after="120"/>
        <w:ind w:left="1140" w:hanging="573"/>
      </w:pPr>
      <w:r>
        <w:t>having clinical evidence of excessive arsenic exposure</w:t>
      </w:r>
    </w:p>
    <w:p w:rsidR="00000000" w:rsidRDefault="001773D3"/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63"/>
        <w:gridCol w:w="1964"/>
        <w:gridCol w:w="60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6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73D3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96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73D3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600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73D3">
            <w:pPr>
              <w:jc w:val="center"/>
              <w:rPr>
                <w:b/>
              </w:rPr>
            </w:pPr>
            <w:r>
              <w:rPr>
                <w:b/>
              </w:rPr>
              <w:t>Place and circumstances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73D3">
            <w:pPr>
              <w:jc w:val="center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73D3">
            <w:pPr>
              <w:jc w:val="center"/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73D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73D3">
            <w:pPr>
              <w:jc w:val="center"/>
            </w:pPr>
            <w:r>
              <w:t>/        /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73D3">
            <w:pPr>
              <w:jc w:val="center"/>
            </w:pPr>
            <w:r>
              <w:t>/        /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73D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73D3">
            <w:pPr>
              <w:jc w:val="center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73D3">
            <w:pPr>
              <w:jc w:val="center"/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73D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73D3">
            <w:pPr>
              <w:jc w:val="center"/>
            </w:pPr>
            <w:r>
              <w:t>/        /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73D3">
            <w:pPr>
              <w:jc w:val="center"/>
            </w:pPr>
            <w:r>
              <w:t xml:space="preserve">/     </w:t>
            </w:r>
            <w:r>
              <w:t xml:space="preserve">   /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73D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73D3">
            <w:pPr>
              <w:jc w:val="center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73D3">
            <w:pPr>
              <w:jc w:val="center"/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73D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73D3">
            <w:pPr>
              <w:jc w:val="center"/>
            </w:pPr>
            <w:r>
              <w:t>/        /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73D3">
            <w:pPr>
              <w:jc w:val="center"/>
            </w:pPr>
            <w:r>
              <w:t>/        /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73D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1773D3">
            <w:pPr>
              <w:jc w:val="center"/>
            </w:pPr>
          </w:p>
        </w:tc>
        <w:tc>
          <w:tcPr>
            <w:tcW w:w="19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1773D3">
            <w:pPr>
              <w:jc w:val="center"/>
            </w:pPr>
          </w:p>
        </w:tc>
        <w:tc>
          <w:tcPr>
            <w:tcW w:w="60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1773D3"/>
        </w:tc>
      </w:tr>
    </w:tbl>
    <w:p w:rsidR="00000000" w:rsidRDefault="001773D3"/>
    <w:p w:rsidR="00000000" w:rsidRDefault="001773D3">
      <w:pPr>
        <w:rPr>
          <w:sz w:val="16"/>
        </w:rPr>
      </w:pPr>
      <w:bookmarkStart w:id="6" w:name="WorseningQuestions"/>
      <w:bookmarkEnd w:id="6"/>
    </w:p>
    <w:p w:rsidR="00000000" w:rsidRDefault="001773D3">
      <w:pPr>
        <w:pStyle w:val="ReportSection"/>
        <w:framePr w:hSpace="181" w:wrap="notBeside" w:hAnchor="margin" w:yAlign="bottom"/>
      </w:pPr>
      <w:bookmarkStart w:id="7" w:name="StartHere"/>
      <w:bookmarkStart w:id="8" w:name="SignatureBlock"/>
      <w:bookmarkEnd w:id="7"/>
      <w:r>
        <w:t>Claimant's Signature</w:t>
      </w:r>
    </w:p>
    <w:p w:rsidR="00000000" w:rsidRDefault="001773D3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000000" w:rsidRDefault="001773D3" w:rsidP="001773D3">
      <w:pPr>
        <w:framePr w:hSpace="181" w:wrap="notBeside" w:hAnchor="margin" w:yAlign="bottom"/>
        <w:numPr>
          <w:ilvl w:val="0"/>
          <w:numId w:val="2"/>
        </w:numPr>
      </w:pPr>
      <w:r>
        <w:t>The Declaration you signed on the claim form also covers the information you supply on this form.</w:t>
      </w:r>
    </w:p>
    <w:p w:rsidR="00000000" w:rsidRDefault="001773D3" w:rsidP="001773D3">
      <w:pPr>
        <w:framePr w:hSpace="181" w:wrap="notBeside" w:hAnchor="margin" w:yAlign="bottom"/>
        <w:numPr>
          <w:ilvl w:val="0"/>
          <w:numId w:val="3"/>
        </w:numPr>
        <w:spacing w:after="120"/>
      </w:pP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1773D3">
            <w:pPr>
              <w:framePr w:hSpace="181" w:wrap="notBeside" w:hAnchor="margin" w:yAlign="bottom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773D3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8"/>
    </w:tbl>
    <w:p w:rsidR="00000000" w:rsidRDefault="001773D3"/>
    <w:sectPr w:rsidR="00000000"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73D3">
      <w:r>
        <w:separator/>
      </w:r>
    </w:p>
  </w:endnote>
  <w:endnote w:type="continuationSeparator" w:id="0">
    <w:p w:rsidR="00000000" w:rsidRDefault="0017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773D3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CSCB046CR9241 31/03/2005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73D3">
      <w:r>
        <w:separator/>
      </w:r>
    </w:p>
  </w:footnote>
  <w:footnote w:type="continuationSeparator" w:id="0">
    <w:p w:rsidR="00000000" w:rsidRDefault="00177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FAFDC6"/>
    <w:lvl w:ilvl="0">
      <w:numFmt w:val="bullet"/>
      <w:lvlText w:val="*"/>
      <w:lvlJc w:val="left"/>
    </w:lvl>
  </w:abstractNum>
  <w:abstractNum w:abstractNumId="1">
    <w:nsid w:val="238C7B0F"/>
    <w:multiLevelType w:val="singleLevel"/>
    <w:tmpl w:val="71F0758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76840854"/>
    <w:multiLevelType w:val="singleLevel"/>
    <w:tmpl w:val="71F0758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927" w:hanging="360"/>
        </w:pPr>
        <w:rPr>
          <w:rFonts w:ascii="Wingdings" w:hAnsi="Wingdings" w:hint="default"/>
          <w:sz w:val="32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D3"/>
    <w:rsid w:val="0017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Melanotic Malignant Neoplasm of the Skin - Exposure to arsenic</vt:lpstr>
    </vt:vector>
  </TitlesOfParts>
  <Company>SoftLaw Corporation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Melanotic Malignant Neoplasm of the Skin - Exposure to arsenic</dc:title>
  <dc:subject>Questionnaires</dc:subject>
  <dc:creator>SoftLaw Corporation</dc:creator>
  <cp:lastModifiedBy>CMCKEG</cp:lastModifiedBy>
  <cp:revision>2</cp:revision>
  <cp:lastPrinted>1993-07-29T08:23:00Z</cp:lastPrinted>
  <dcterms:created xsi:type="dcterms:W3CDTF">2015-04-28T23:10:00Z</dcterms:created>
  <dcterms:modified xsi:type="dcterms:W3CDTF">2015-04-28T23:10:00Z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Non Melanotic Malignant Neoplasm of the Skin</vt:lpwstr>
  </property>
  <property fmtid="{D5CDD505-2E9C-101B-9397-08002B2CF9AE}" pid="3" name="Contention">
    <vt:lpwstr>Exposure to arsenic</vt:lpwstr>
  </property>
  <property fmtid="{D5CDD505-2E9C-101B-9397-08002B2CF9AE}" pid="4" name="ReportType">
    <vt:lpwstr>Claimant</vt:lpwstr>
  </property>
  <property fmtid="{D5CDD505-2E9C-101B-9397-08002B2CF9AE}" pid="5" name="LastModified">
    <vt:lpwstr>31/03/2005</vt:lpwstr>
  </property>
  <property fmtid="{D5CDD505-2E9C-101B-9397-08002B2CF9AE}" pid="6" name="DocumentID">
    <vt:lpwstr>CSCB046CR9241 31/03/2005</vt:lpwstr>
  </property>
  <property fmtid="{D5CDD505-2E9C-101B-9397-08002B2CF9AE}" pid="7" name="ReportNumber">
    <vt:lpwstr>9241</vt:lpwstr>
  </property>
  <property fmtid="{D5CDD505-2E9C-101B-9397-08002B2CF9AE}" pid="8" name="SOP">
    <vt:lpwstr>B046</vt:lpwstr>
  </property>
  <property fmtid="{D5CDD505-2E9C-101B-9397-08002B2CF9AE}" pid="9" name="DocumentName">
    <vt:lpwstr>CR9241</vt:lpwstr>
  </property>
</Properties>
</file>