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370E">
      <w:pPr>
        <w:framePr w:hSpace="181" w:wrap="notBeside" w:vAnchor="page" w:hAnchor="margin" w:x="1" w:y="749"/>
      </w:pPr>
      <w:bookmarkStart w:id="0" w:name="DVAHead"/>
      <w:r>
        <w:rPr>
          <w:rFonts w:ascii="AusGov DVA Stacked 4U" w:hAnsi="AusGov DVA Stacked 4U"/>
          <w:sz w:val="200"/>
        </w:rPr>
        <w:t></w:t>
      </w:r>
      <w:r>
        <w:rPr>
          <w:rFonts w:ascii="AusGov DVA Stacked 4U" w:hAnsi="AusGov DVA Stacked 4U"/>
          <w:sz w:val="200"/>
        </w:rPr>
        <w:t></w:t>
      </w:r>
      <w:r>
        <w:rPr>
          <w:rFonts w:ascii="AusGov DVA Stacked 4U" w:hAnsi="AusGov DVA Stacked 4U"/>
          <w:sz w:val="200"/>
        </w:rPr>
        <w:t></w:t>
      </w:r>
      <w:r>
        <w:rPr>
          <w:rFonts w:ascii="AusGov DVA Stacked 4U" w:hAnsi="AusGov DVA Stacked 4U"/>
          <w:sz w:val="200"/>
        </w:rPr>
        <w:t></w:t>
      </w:r>
      <w:r>
        <w:rPr>
          <w:rFonts w:ascii="AusGov DVA Stacked 4U" w:hAnsi="AusGov DVA Stacked 4U"/>
          <w:sz w:val="200"/>
        </w:rPr>
        <w:t></w:t>
      </w:r>
      <w:r>
        <w:rPr>
          <w:rFonts w:ascii="AusGov DVA Stacked 4U" w:hAnsi="AusGov DVA Stacked 4U"/>
          <w:sz w:val="200"/>
        </w:rPr>
        <w:t></w:t>
      </w:r>
      <w:r>
        <w:rPr>
          <w:rFonts w:ascii="AusGov DVA Stacked 4U" w:hAnsi="AusGov DVA Stacked 4U"/>
          <w:sz w:val="200"/>
        </w:rPr>
        <w:t></w:t>
      </w:r>
    </w:p>
    <w:p w:rsidR="00000000" w:rsidRDefault="0067370E">
      <w:pPr>
        <w:pStyle w:val="ReportTitle"/>
      </w:pPr>
      <w:r>
        <w:t>Claimant Report - Cutaneous Contact with Paraquat</w:t>
      </w:r>
    </w:p>
    <w:p w:rsidR="00000000" w:rsidRDefault="0067370E">
      <w:pPr>
        <w:pStyle w:val="ReportTitle"/>
      </w:pPr>
      <w:bookmarkStart w:id="1" w:name="Condition"/>
      <w:bookmarkStart w:id="2" w:name="_GoBack"/>
      <w:bookmarkEnd w:id="1"/>
      <w:bookmarkEnd w:id="2"/>
    </w:p>
    <w:p w:rsidR="00000000" w:rsidRDefault="0067370E">
      <w:pPr>
        <w:pStyle w:val="ReportPrivacy"/>
      </w:pPr>
      <w:bookmarkStart w:id="3" w:name="Disclaimer"/>
      <w:bookmarkEnd w:id="0"/>
      <w:r>
        <w:t>This form is in connection with your claim for pension and medical treatment and the information you supply will assist in deciding eligibility for benefits under the</w:t>
      </w:r>
      <w:r>
        <w:t xml:space="preserve"> Veterans' Entitlements Act 1986 and/or Military Rehabilitation and Compensation Act 2004.   In the event of an appeal against a decision, this information may be provided to the Veterans' Review Board, Administrative Appeals Tribunal or Federal Court.</w:t>
      </w:r>
    </w:p>
    <w:bookmarkEnd w:id="3"/>
    <w:p w:rsidR="00000000" w:rsidRDefault="0067370E">
      <w:pPr>
        <w:pStyle w:val="ReportSection"/>
      </w:pPr>
      <w:r>
        <w:t>Veteran's Details</w:t>
      </w:r>
    </w:p>
    <w:tbl>
      <w:tblPr>
        <w:tblW w:w="0" w:type="auto"/>
        <w:tblInd w:w="71" w:type="dxa"/>
        <w:tblLayout w:type="fixed"/>
        <w:tblLook w:val="0000" w:firstRow="0" w:lastRow="0" w:firstColumn="0" w:lastColumn="0" w:noHBand="0" w:noVBand="0"/>
      </w:tblPr>
      <w:tblGrid>
        <w:gridCol w:w="3040"/>
        <w:gridCol w:w="270"/>
        <w:gridCol w:w="14"/>
        <w:gridCol w:w="3543"/>
        <w:gridCol w:w="14"/>
        <w:gridCol w:w="269"/>
        <w:gridCol w:w="15"/>
        <w:gridCol w:w="2821"/>
        <w:gridCol w:w="15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15" w:type="dxa"/>
          <w:cantSplit/>
        </w:trPr>
        <w:tc>
          <w:tcPr>
            <w:tcW w:w="30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370E">
            <w:pPr>
              <w:rPr>
                <w:b/>
              </w:rPr>
            </w:pPr>
            <w:r>
              <w:rPr>
                <w:b/>
              </w:rPr>
              <w:t>Surname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7370E">
            <w:pPr>
              <w:rPr>
                <w:b/>
              </w:rPr>
            </w:pPr>
          </w:p>
        </w:tc>
        <w:tc>
          <w:tcPr>
            <w:tcW w:w="355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370E">
            <w:pPr>
              <w:rPr>
                <w:b/>
              </w:rPr>
            </w:pPr>
            <w:r>
              <w:rPr>
                <w:b/>
              </w:rPr>
              <w:t>Given Names</w:t>
            </w: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370E">
            <w:pPr>
              <w:rPr>
                <w:b/>
              </w:rPr>
            </w:pPr>
          </w:p>
        </w:tc>
        <w:tc>
          <w:tcPr>
            <w:tcW w:w="28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370E">
            <w:pPr>
              <w:rPr>
                <w:b/>
              </w:rPr>
            </w:pPr>
            <w:r>
              <w:rPr>
                <w:b/>
              </w:rPr>
              <w:t>DVA File Number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0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7370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370E">
            <w:pPr>
              <w:pStyle w:val="ReportVeteran"/>
            </w:pPr>
          </w:p>
        </w:tc>
        <w:tc>
          <w:tcPr>
            <w:tcW w:w="355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7370E">
            <w:pPr>
              <w:pStyle w:val="ReportVeteran"/>
            </w:pPr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00000" w:rsidRDefault="0067370E">
            <w:pPr>
              <w:pStyle w:val="ReportVeteran"/>
            </w:pPr>
          </w:p>
        </w:tc>
        <w:tc>
          <w:tcPr>
            <w:tcW w:w="2836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7370E">
            <w:pPr>
              <w:pStyle w:val="ReportVeteran"/>
            </w:pPr>
          </w:p>
        </w:tc>
      </w:tr>
    </w:tbl>
    <w:p w:rsidR="00000000" w:rsidRDefault="0067370E">
      <w:pPr>
        <w:pStyle w:val="ReportSection"/>
      </w:pPr>
      <w:r>
        <w:t>Report Detail</w:t>
      </w:r>
    </w:p>
    <w:p w:rsidR="00000000" w:rsidRDefault="0067370E">
      <w:pPr>
        <w:rPr>
          <w:sz w:val="16"/>
        </w:rPr>
      </w:pPr>
      <w:bookmarkStart w:id="4" w:name="ReportBody"/>
      <w:bookmarkStart w:id="5" w:name="Preamble"/>
      <w:bookmarkStart w:id="6" w:name="WorseningQuestions"/>
      <w:bookmarkEnd w:id="4"/>
      <w:bookmarkEnd w:id="5"/>
      <w:bookmarkEnd w:id="6"/>
    </w:p>
    <w:p w:rsidR="00000000" w:rsidRDefault="0067370E">
      <w:bookmarkStart w:id="7" w:name="StartHere"/>
      <w:bookmarkEnd w:id="7"/>
      <w:r>
        <w:t>The Repatriation Medical Authority has defined paraquat as “a dipyridilium compound whose dichloride and dimethylsulphate salts</w:t>
      </w:r>
      <w:r>
        <w:t xml:space="preserve"> are used as contact herbicides” and requires cutaneous (skin) contact with paraquat or bipyridine in the process of paraquat manufacture.</w:t>
      </w:r>
    </w:p>
    <w:p w:rsidR="00000000" w:rsidRDefault="0067370E">
      <w:pPr>
        <w:spacing w:before="240" w:after="240"/>
        <w:rPr>
          <w:i/>
        </w:rPr>
      </w:pPr>
      <w:r>
        <w:t xml:space="preserve">Is there a history </w:t>
      </w:r>
      <w:r>
        <w:rPr>
          <w:b/>
        </w:rPr>
        <w:t>at any time</w:t>
      </w:r>
      <w:r>
        <w:t xml:space="preserve">, both service and non-service periods, of cutaneous contact with paraquat, as described above, on more days than not for a cumulative period of </w:t>
      </w:r>
      <w:r>
        <w:rPr>
          <w:b/>
        </w:rPr>
        <w:t>at least 1000 days</w:t>
      </w:r>
      <w:r>
        <w:t>?</w:t>
      </w:r>
    </w:p>
    <w:p w:rsidR="00000000" w:rsidRDefault="0067370E">
      <w:pPr>
        <w:ind w:left="1135" w:hanging="567"/>
        <w:rPr>
          <w:i/>
        </w:rPr>
      </w:pPr>
      <w:r>
        <w:rPr>
          <w:rFonts w:ascii="Wingdings" w:hAnsi="Wingdings"/>
          <w:sz w:val="32"/>
        </w:rPr>
        <w:t></w:t>
      </w:r>
      <w:r>
        <w:rPr>
          <w:rFonts w:ascii="Wingdings" w:hAnsi="Wingdings"/>
          <w:sz w:val="32"/>
        </w:rPr>
        <w:tab/>
      </w:r>
      <w:r>
        <w:rPr>
          <w:b/>
        </w:rPr>
        <w:t xml:space="preserve">No - </w:t>
      </w:r>
      <w:r>
        <w:rPr>
          <w:i/>
        </w:rPr>
        <w:t>Please sign the form and return it to the Department</w:t>
      </w:r>
    </w:p>
    <w:p w:rsidR="00000000" w:rsidRDefault="0067370E">
      <w:pPr>
        <w:ind w:left="1135" w:hanging="567"/>
      </w:pPr>
      <w:r>
        <w:rPr>
          <w:rFonts w:ascii="Wingdings" w:hAnsi="Wingdings"/>
          <w:sz w:val="32"/>
        </w:rPr>
        <w:t></w:t>
      </w:r>
      <w:r>
        <w:tab/>
      </w:r>
      <w:r>
        <w:rPr>
          <w:b/>
        </w:rPr>
        <w:t xml:space="preserve">Yes - </w:t>
      </w:r>
      <w:r>
        <w:t>Please provide details on the next page, being as specific as possible:</w:t>
      </w:r>
    </w:p>
    <w:p w:rsidR="00000000" w:rsidRDefault="0067370E">
      <w:pPr>
        <w:ind w:left="1135" w:hanging="567"/>
      </w:pPr>
    </w:p>
    <w:p w:rsidR="00000000" w:rsidRDefault="0067370E">
      <w:pPr>
        <w:spacing w:after="240"/>
        <w:ind w:left="1134" w:hanging="567"/>
      </w:pPr>
      <w:r>
        <w:br w:type="page"/>
      </w:r>
      <w:r>
        <w:lastRenderedPageBreak/>
        <w:t xml:space="preserve">Details of cutaneous (skin) contact </w:t>
      </w:r>
      <w:r>
        <w:t>with paraquat:</w:t>
      </w:r>
    </w:p>
    <w:tbl>
      <w:tblPr>
        <w:tblW w:w="0" w:type="auto"/>
        <w:jc w:val="center"/>
        <w:tblLayout w:type="fixed"/>
        <w:tblCellMar>
          <w:left w:w="110" w:type="dxa"/>
          <w:right w:w="110" w:type="dxa"/>
        </w:tblCellMar>
        <w:tblLook w:val="0000" w:firstRow="0" w:lastRow="0" w:firstColumn="0" w:lastColumn="0" w:noHBand="0" w:noVBand="0"/>
      </w:tblPr>
      <w:tblGrid>
        <w:gridCol w:w="2410"/>
        <w:gridCol w:w="4536"/>
        <w:gridCol w:w="2977"/>
      </w:tblGrid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12" w:space="0" w:color="808080"/>
              <w:left w:val="nil"/>
              <w:bottom w:val="single" w:sz="6" w:space="0" w:color="C0C0C0"/>
              <w:right w:val="single" w:sz="6" w:space="0" w:color="C0C0C0"/>
            </w:tcBorders>
          </w:tcPr>
          <w:p w:rsidR="00000000" w:rsidRDefault="0067370E">
            <w:pPr>
              <w:keepNext/>
              <w:spacing w:after="120"/>
              <w:jc w:val="center"/>
              <w:rPr>
                <w:b/>
              </w:rPr>
            </w:pPr>
            <w:r>
              <w:rPr>
                <w:b/>
              </w:rPr>
              <w:t>Period of cutaneous contact with paraquat</w:t>
            </w:r>
          </w:p>
        </w:tc>
        <w:tc>
          <w:tcPr>
            <w:tcW w:w="4536" w:type="dxa"/>
            <w:tcBorders>
              <w:top w:val="single" w:sz="12" w:space="0" w:color="80808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7370E">
            <w:pPr>
              <w:keepNext/>
              <w:spacing w:after="120"/>
              <w:jc w:val="center"/>
              <w:rPr>
                <w:b/>
              </w:rPr>
            </w:pPr>
            <w:r>
              <w:rPr>
                <w:b/>
              </w:rPr>
              <w:t>Description of cutaneous contact with paraquat including activity being performed, how contact occurred and the place where contact occurred</w:t>
            </w:r>
          </w:p>
        </w:tc>
        <w:tc>
          <w:tcPr>
            <w:tcW w:w="2977" w:type="dxa"/>
            <w:tcBorders>
              <w:top w:val="single" w:sz="12" w:space="0" w:color="808080"/>
              <w:left w:val="single" w:sz="6" w:space="0" w:color="C0C0C0"/>
              <w:bottom w:val="single" w:sz="6" w:space="0" w:color="C0C0C0"/>
              <w:right w:val="nil"/>
            </w:tcBorders>
          </w:tcPr>
          <w:p w:rsidR="00000000" w:rsidRDefault="0067370E">
            <w:pPr>
              <w:keepNext/>
              <w:spacing w:after="120"/>
              <w:jc w:val="center"/>
              <w:rPr>
                <w:b/>
              </w:rPr>
            </w:pPr>
            <w:r>
              <w:rPr>
                <w:b/>
              </w:rPr>
              <w:t>Number of days per week of cutaneous contact with paraquat during this period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nil"/>
              <w:left w:val="nil"/>
              <w:bottom w:val="single" w:sz="6" w:space="0" w:color="C0C0C0"/>
              <w:right w:val="single" w:sz="6" w:space="0" w:color="C0C0C0"/>
            </w:tcBorders>
          </w:tcPr>
          <w:p w:rsidR="00000000" w:rsidRDefault="0067370E">
            <w:pPr>
              <w:tabs>
                <w:tab w:val="center" w:pos="851"/>
                <w:tab w:val="center" w:pos="1560"/>
              </w:tabs>
              <w:spacing w:after="120"/>
            </w:pPr>
          </w:p>
          <w:p w:rsidR="00000000" w:rsidRDefault="0067370E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4536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7370E">
            <w:pPr>
              <w:pStyle w:val="Hotwordlist"/>
              <w:spacing w:after="120"/>
            </w:pPr>
          </w:p>
        </w:tc>
        <w:tc>
          <w:tcPr>
            <w:tcW w:w="2977" w:type="dxa"/>
            <w:tcBorders>
              <w:top w:val="nil"/>
              <w:left w:val="single" w:sz="6" w:space="0" w:color="C0C0C0"/>
              <w:bottom w:val="single" w:sz="6" w:space="0" w:color="C0C0C0"/>
              <w:right w:val="nil"/>
            </w:tcBorders>
          </w:tcPr>
          <w:p w:rsidR="00000000" w:rsidRDefault="0067370E">
            <w:pPr>
              <w:spacing w:after="120"/>
            </w:pPr>
          </w:p>
          <w:p w:rsidR="00000000" w:rsidRDefault="0067370E">
            <w:pPr>
              <w:spacing w:after="120"/>
            </w:pPr>
          </w:p>
          <w:p w:rsidR="00000000" w:rsidRDefault="0067370E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000000" w:rsidRDefault="0067370E">
            <w:pPr>
              <w:tabs>
                <w:tab w:val="center" w:pos="851"/>
                <w:tab w:val="center" w:pos="1560"/>
              </w:tabs>
              <w:spacing w:after="120"/>
            </w:pPr>
          </w:p>
          <w:p w:rsidR="00000000" w:rsidRDefault="0067370E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7370E">
            <w:pPr>
              <w:spacing w:after="120"/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000000" w:rsidRDefault="0067370E">
            <w:pPr>
              <w:spacing w:after="120"/>
            </w:pPr>
          </w:p>
          <w:p w:rsidR="00000000" w:rsidRDefault="0067370E">
            <w:pPr>
              <w:spacing w:after="120"/>
            </w:pPr>
          </w:p>
          <w:p w:rsidR="00000000" w:rsidRDefault="0067370E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000000" w:rsidRDefault="0067370E">
            <w:pPr>
              <w:tabs>
                <w:tab w:val="center" w:pos="851"/>
                <w:tab w:val="center" w:pos="1560"/>
              </w:tabs>
              <w:spacing w:after="120"/>
            </w:pPr>
          </w:p>
          <w:p w:rsidR="00000000" w:rsidRDefault="0067370E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7370E">
            <w:pPr>
              <w:spacing w:after="120"/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000000" w:rsidRDefault="0067370E">
            <w:pPr>
              <w:spacing w:after="120"/>
            </w:pPr>
          </w:p>
          <w:p w:rsidR="00000000" w:rsidRDefault="0067370E">
            <w:pPr>
              <w:spacing w:after="120"/>
            </w:pPr>
          </w:p>
          <w:p w:rsidR="00000000" w:rsidRDefault="0067370E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000000" w:rsidRDefault="0067370E">
            <w:pPr>
              <w:tabs>
                <w:tab w:val="center" w:pos="851"/>
                <w:tab w:val="center" w:pos="1560"/>
              </w:tabs>
              <w:spacing w:after="120"/>
            </w:pPr>
          </w:p>
          <w:p w:rsidR="00000000" w:rsidRDefault="0067370E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7370E">
            <w:pPr>
              <w:spacing w:after="120"/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000000" w:rsidRDefault="0067370E">
            <w:pPr>
              <w:spacing w:after="120"/>
            </w:pPr>
          </w:p>
          <w:p w:rsidR="00000000" w:rsidRDefault="0067370E">
            <w:pPr>
              <w:spacing w:after="120"/>
            </w:pPr>
          </w:p>
          <w:p w:rsidR="00000000" w:rsidRDefault="0067370E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000000" w:rsidRDefault="0067370E">
            <w:pPr>
              <w:tabs>
                <w:tab w:val="center" w:pos="851"/>
                <w:tab w:val="center" w:pos="1560"/>
              </w:tabs>
              <w:spacing w:after="120"/>
            </w:pPr>
          </w:p>
          <w:p w:rsidR="00000000" w:rsidRDefault="0067370E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7370E">
            <w:pPr>
              <w:spacing w:after="120"/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000000" w:rsidRDefault="0067370E">
            <w:pPr>
              <w:spacing w:after="120"/>
            </w:pPr>
          </w:p>
          <w:p w:rsidR="00000000" w:rsidRDefault="0067370E">
            <w:pPr>
              <w:spacing w:after="120"/>
            </w:pPr>
          </w:p>
          <w:p w:rsidR="00000000" w:rsidRDefault="0067370E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</w:tcPr>
          <w:p w:rsidR="00000000" w:rsidRDefault="0067370E">
            <w:pPr>
              <w:tabs>
                <w:tab w:val="center" w:pos="851"/>
                <w:tab w:val="center" w:pos="1560"/>
              </w:tabs>
              <w:spacing w:after="120"/>
            </w:pPr>
          </w:p>
          <w:p w:rsidR="00000000" w:rsidRDefault="0067370E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000000" w:rsidRDefault="0067370E">
            <w:pPr>
              <w:spacing w:after="120"/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000000" w:rsidRDefault="0067370E">
            <w:pPr>
              <w:spacing w:after="120"/>
            </w:pPr>
          </w:p>
          <w:p w:rsidR="00000000" w:rsidRDefault="0067370E">
            <w:pPr>
              <w:spacing w:after="120"/>
            </w:pPr>
          </w:p>
          <w:p w:rsidR="00000000" w:rsidRDefault="0067370E">
            <w:pPr>
              <w:spacing w:after="120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410" w:type="dxa"/>
            <w:tcBorders>
              <w:top w:val="single" w:sz="6" w:space="0" w:color="C0C0C0"/>
              <w:left w:val="nil"/>
              <w:bottom w:val="single" w:sz="12" w:space="0" w:color="808080"/>
              <w:right w:val="single" w:sz="6" w:space="0" w:color="C0C0C0"/>
            </w:tcBorders>
          </w:tcPr>
          <w:p w:rsidR="00000000" w:rsidRDefault="0067370E">
            <w:pPr>
              <w:tabs>
                <w:tab w:val="center" w:pos="851"/>
                <w:tab w:val="center" w:pos="1560"/>
              </w:tabs>
              <w:spacing w:after="120"/>
            </w:pPr>
          </w:p>
          <w:p w:rsidR="00000000" w:rsidRDefault="0067370E">
            <w:pPr>
              <w:tabs>
                <w:tab w:val="center" w:pos="851"/>
                <w:tab w:val="center" w:pos="1560"/>
              </w:tabs>
              <w:spacing w:after="120"/>
            </w:pPr>
            <w:r>
              <w:tab/>
              <w:t>/</w:t>
            </w:r>
            <w:r>
              <w:tab/>
              <w:t>/</w:t>
            </w:r>
          </w:p>
        </w:tc>
        <w:tc>
          <w:tcPr>
            <w:tcW w:w="4536" w:type="dxa"/>
            <w:tcBorders>
              <w:top w:val="single" w:sz="6" w:space="0" w:color="C0C0C0"/>
              <w:left w:val="single" w:sz="6" w:space="0" w:color="C0C0C0"/>
              <w:bottom w:val="single" w:sz="12" w:space="0" w:color="808080"/>
              <w:right w:val="single" w:sz="6" w:space="0" w:color="C0C0C0"/>
            </w:tcBorders>
          </w:tcPr>
          <w:p w:rsidR="00000000" w:rsidRDefault="0067370E">
            <w:pPr>
              <w:spacing w:after="120"/>
            </w:pPr>
          </w:p>
        </w:tc>
        <w:tc>
          <w:tcPr>
            <w:tcW w:w="2977" w:type="dxa"/>
            <w:tcBorders>
              <w:top w:val="single" w:sz="6" w:space="0" w:color="C0C0C0"/>
              <w:left w:val="single" w:sz="6" w:space="0" w:color="C0C0C0"/>
              <w:bottom w:val="single" w:sz="12" w:space="0" w:color="808080"/>
              <w:right w:val="nil"/>
            </w:tcBorders>
          </w:tcPr>
          <w:p w:rsidR="00000000" w:rsidRDefault="0067370E">
            <w:pPr>
              <w:spacing w:after="120"/>
            </w:pPr>
          </w:p>
          <w:p w:rsidR="00000000" w:rsidRDefault="0067370E">
            <w:pPr>
              <w:spacing w:after="120"/>
            </w:pPr>
          </w:p>
          <w:p w:rsidR="00000000" w:rsidRDefault="0067370E">
            <w:pPr>
              <w:spacing w:after="120"/>
            </w:pPr>
          </w:p>
        </w:tc>
      </w:tr>
    </w:tbl>
    <w:p w:rsidR="00000000" w:rsidRDefault="0067370E"/>
    <w:p w:rsidR="00000000" w:rsidRDefault="0067370E">
      <w:pPr>
        <w:ind w:left="1135" w:hanging="567"/>
      </w:pPr>
    </w:p>
    <w:p w:rsidR="00000000" w:rsidRDefault="0067370E">
      <w:pPr>
        <w:pStyle w:val="ReportSection"/>
        <w:framePr w:hSpace="181" w:wrap="notBeside" w:vAnchor="page" w:hAnchor="page" w:x="921" w:y="13505"/>
      </w:pPr>
      <w:bookmarkStart w:id="8" w:name="SignatureBlock"/>
      <w:r>
        <w:t>Claimant's Signature</w:t>
      </w:r>
    </w:p>
    <w:p w:rsidR="00000000" w:rsidRDefault="0067370E">
      <w:pPr>
        <w:framePr w:hSpace="181" w:wrap="notBeside" w:vAnchor="page" w:hAnchor="page" w:x="921" w:y="13505"/>
        <w:rPr>
          <w:b/>
          <w:i/>
        </w:rPr>
      </w:pPr>
      <w:r>
        <w:rPr>
          <w:b/>
          <w:i/>
        </w:rPr>
        <w:t>You are reminded that:</w:t>
      </w:r>
    </w:p>
    <w:p w:rsidR="00000000" w:rsidRDefault="0067370E" w:rsidP="0067370E">
      <w:pPr>
        <w:framePr w:hSpace="181" w:wrap="notBeside" w:vAnchor="page" w:hAnchor="page" w:x="921" w:y="13505"/>
        <w:numPr>
          <w:ilvl w:val="0"/>
          <w:numId w:val="1"/>
        </w:numPr>
      </w:pPr>
      <w:r>
        <w:t>The Declaration you signed on the claim form also covers the information you supply on this form.</w:t>
      </w:r>
    </w:p>
    <w:p w:rsidR="00000000" w:rsidRDefault="0067370E" w:rsidP="0067370E">
      <w:pPr>
        <w:framePr w:hSpace="181" w:wrap="notBeside" w:vAnchor="page" w:hAnchor="page" w:x="921" w:y="13505"/>
        <w:numPr>
          <w:ilvl w:val="0"/>
          <w:numId w:val="2"/>
        </w:numPr>
        <w:spacing w:after="120"/>
      </w:pPr>
      <w:r>
        <w:t>There are pena</w:t>
      </w:r>
      <w:r>
        <w:t>lties for knowingly making false or misleading statements.</w:t>
      </w:r>
    </w:p>
    <w:tbl>
      <w:tblPr>
        <w:tblW w:w="0" w:type="auto"/>
        <w:tblInd w:w="57" w:type="dxa"/>
        <w:tblLayout w:type="fixed"/>
        <w:tblLook w:val="0000" w:firstRow="0" w:lastRow="0" w:firstColumn="0" w:lastColumn="0" w:noHBand="0" w:noVBand="0"/>
      </w:tblPr>
      <w:tblGrid>
        <w:gridCol w:w="6288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</w:tcPr>
          <w:p w:rsidR="00000000" w:rsidRDefault="0067370E">
            <w:pPr>
              <w:framePr w:hSpace="181" w:wrap="notBeside" w:vAnchor="page" w:hAnchor="page" w:x="921" w:y="13505"/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288" w:type="dxa"/>
            <w:tcBorders>
              <w:top w:val="nil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00000" w:rsidRDefault="0067370E">
            <w:pPr>
              <w:framePr w:hSpace="181" w:wrap="notBeside" w:vAnchor="page" w:hAnchor="page" w:x="921" w:y="13505"/>
              <w:tabs>
                <w:tab w:val="left" w:pos="5103"/>
                <w:tab w:val="left" w:pos="5671"/>
              </w:tabs>
              <w:rPr>
                <w:b/>
              </w:rPr>
            </w:pPr>
            <w:r>
              <w:rPr>
                <w:b/>
              </w:rPr>
              <w:tab/>
              <w:t>/</w:t>
            </w:r>
            <w:r>
              <w:rPr>
                <w:b/>
              </w:rPr>
              <w:tab/>
              <w:t>/</w:t>
            </w:r>
          </w:p>
        </w:tc>
      </w:tr>
      <w:bookmarkEnd w:id="8"/>
    </w:tbl>
    <w:p w:rsidR="00000000" w:rsidRDefault="0067370E">
      <w:pPr>
        <w:ind w:left="1135" w:hanging="567"/>
      </w:pPr>
    </w:p>
    <w:sectPr w:rsidR="00000000">
      <w:footerReference w:type="default" r:id="rId8"/>
      <w:type w:val="continuous"/>
      <w:pgSz w:w="11913" w:h="16834"/>
      <w:pgMar w:top="1134" w:right="993" w:bottom="1134" w:left="993" w:header="720" w:footer="720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370E">
      <w:r>
        <w:separator/>
      </w:r>
    </w:p>
  </w:endnote>
  <w:endnote w:type="continuationSeparator" w:id="0">
    <w:p w:rsidR="00000000" w:rsidRDefault="0067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usGov DVA Stacked 4U"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370E">
    <w:pPr>
      <w:pStyle w:val="ReportFooter"/>
    </w:pPr>
    <w:r>
      <w:fldChar w:fldCharType="begin"/>
    </w:r>
    <w:r>
      <w:instrText xml:space="preserve"> keywords </w:instrText>
    </w:r>
    <w:r>
      <w:fldChar w:fldCharType="end"/>
    </w:r>
    <w:r>
      <w:tab/>
      <w:t>CSCB046CR9240 31/03/2005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370E">
      <w:r>
        <w:separator/>
      </w:r>
    </w:p>
  </w:footnote>
  <w:footnote w:type="continuationSeparator" w:id="0">
    <w:p w:rsidR="00000000" w:rsidRDefault="0067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55CE0"/>
    <w:multiLevelType w:val="singleLevel"/>
    <w:tmpl w:val="A3B628E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">
    <w:nsid w:val="588417EB"/>
    <w:multiLevelType w:val="singleLevel"/>
    <w:tmpl w:val="A3B628E2"/>
    <w:lvl w:ilvl="0">
      <w:start w:val="1"/>
      <w:numFmt w:val="none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ttachedTemplate r:id="rId1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70E"/>
    <w:rsid w:val="0067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9">
    <w:name w:val="heading 9"/>
    <w:basedOn w:val="Normal"/>
    <w:next w:val="Normal"/>
    <w:qFormat/>
    <w:pPr>
      <w:outlineLvl w:val="8"/>
    </w:pPr>
    <w:rPr>
      <w:vanish/>
      <w:sz w:val="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paragraph" w:styleId="Header">
    <w:name w:val="header"/>
    <w:basedOn w:val="Normal"/>
    <w:semiHidden/>
    <w:pPr>
      <w:tabs>
        <w:tab w:val="right" w:pos="8647"/>
        <w:tab w:val="right" w:leader="underscore" w:pos="9923"/>
      </w:tabs>
    </w:pPr>
    <w:rPr>
      <w:b/>
      <w:i/>
      <w:sz w:val="20"/>
    </w:rPr>
  </w:style>
  <w:style w:type="paragraph" w:styleId="NormalIndent">
    <w:name w:val="Normal Indent"/>
    <w:basedOn w:val="Normal"/>
    <w:semiHidden/>
    <w:pPr>
      <w:ind w:left="568" w:hanging="568"/>
    </w:pPr>
  </w:style>
  <w:style w:type="paragraph" w:customStyle="1" w:styleId="ReportPrivacy">
    <w:name w:val="Report Privacy"/>
    <w:basedOn w:val="Normal"/>
    <w:next w:val="ReportSection"/>
    <w:pPr>
      <w:pBdr>
        <w:top w:val="single" w:sz="6" w:space="1" w:color="auto"/>
        <w:bottom w:val="single" w:sz="6" w:space="1" w:color="auto"/>
      </w:pBdr>
      <w:spacing w:before="120"/>
      <w:jc w:val="both"/>
    </w:pPr>
    <w:rPr>
      <w:sz w:val="16"/>
    </w:rPr>
  </w:style>
  <w:style w:type="paragraph" w:customStyle="1" w:styleId="ReportSection">
    <w:name w:val="Report Section"/>
    <w:basedOn w:val="Normal"/>
    <w:next w:val="Normal"/>
    <w:pPr>
      <w:pBdr>
        <w:top w:val="single" w:sz="6" w:space="1" w:color="808080"/>
      </w:pBdr>
      <w:spacing w:before="200" w:after="80"/>
    </w:pPr>
    <w:rPr>
      <w:b/>
      <w:i/>
      <w:sz w:val="28"/>
    </w:rPr>
  </w:style>
  <w:style w:type="paragraph" w:customStyle="1" w:styleId="ReportTitle">
    <w:name w:val="Report Title"/>
    <w:basedOn w:val="Normal"/>
    <w:pPr>
      <w:jc w:val="right"/>
    </w:pPr>
    <w:rPr>
      <w:b/>
      <w:sz w:val="32"/>
    </w:rPr>
  </w:style>
  <w:style w:type="paragraph" w:customStyle="1" w:styleId="ReportVeteran">
    <w:name w:val="Report Veteran"/>
    <w:basedOn w:val="Normal"/>
    <w:next w:val="Normal"/>
    <w:pPr>
      <w:spacing w:before="100" w:after="100"/>
    </w:pPr>
    <w:rPr>
      <w:rFonts w:ascii="Arial" w:hAnsi="Arial"/>
      <w:b/>
    </w:rPr>
  </w:style>
  <w:style w:type="paragraph" w:customStyle="1" w:styleId="Privacy">
    <w:name w:val="Privacy"/>
    <w:basedOn w:val="Normal"/>
    <w:pPr>
      <w:pBdr>
        <w:top w:val="single" w:sz="6" w:space="1" w:color="auto"/>
        <w:bottom w:val="single" w:sz="6" w:space="1" w:color="auto"/>
      </w:pBdr>
      <w:spacing w:after="120"/>
      <w:jc w:val="both"/>
    </w:pPr>
    <w:rPr>
      <w:sz w:val="16"/>
    </w:rPr>
  </w:style>
  <w:style w:type="paragraph" w:customStyle="1" w:styleId="MainHeading">
    <w:name w:val="Main Heading"/>
    <w:basedOn w:val="Normal"/>
    <w:rPr>
      <w:rFonts w:ascii="Palatino" w:hAnsi="Palatino"/>
      <w:b/>
      <w:sz w:val="26"/>
    </w:rPr>
  </w:style>
  <w:style w:type="paragraph" w:customStyle="1" w:styleId="ReportStamp">
    <w:name w:val="Report Stamp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tabs>
        <w:tab w:val="center" w:pos="3969"/>
        <w:tab w:val="center" w:pos="4395"/>
      </w:tabs>
    </w:pPr>
  </w:style>
  <w:style w:type="paragraph" w:customStyle="1" w:styleId="Question">
    <w:name w:val="Question"/>
    <w:basedOn w:val="Normal"/>
    <w:rPr>
      <w:rFonts w:ascii="Palatino" w:hAnsi="Palatino"/>
      <w:b/>
      <w:sz w:val="22"/>
    </w:rPr>
  </w:style>
  <w:style w:type="paragraph" w:customStyle="1" w:styleId="ReportFormName">
    <w:name w:val="Report Form Name"/>
    <w:basedOn w:val="Normal"/>
    <w:next w:val="Normal"/>
    <w:pPr>
      <w:spacing w:before="120"/>
      <w:jc w:val="right"/>
    </w:pPr>
    <w:rPr>
      <w:sz w:val="16"/>
    </w:rPr>
  </w:style>
  <w:style w:type="paragraph" w:customStyle="1" w:styleId="ReportLH1">
    <w:name w:val="Report LH1"/>
    <w:basedOn w:val="Normal"/>
    <w:next w:val="ReportLH2"/>
    <w:rPr>
      <w:rFonts w:ascii="Arial" w:hAnsi="Arial"/>
      <w:b/>
      <w:sz w:val="20"/>
    </w:rPr>
  </w:style>
  <w:style w:type="paragraph" w:customStyle="1" w:styleId="ReportLH2">
    <w:name w:val="Report LH2"/>
    <w:basedOn w:val="ReportLH1"/>
    <w:rPr>
      <w:sz w:val="36"/>
    </w:rPr>
  </w:style>
  <w:style w:type="paragraph" w:customStyle="1" w:styleId="ReportQuestion">
    <w:name w:val="Report Question"/>
    <w:basedOn w:val="Normal"/>
    <w:next w:val="Normal"/>
    <w:pPr>
      <w:spacing w:before="240" w:after="120"/>
      <w:ind w:left="567" w:hanging="567"/>
    </w:pPr>
  </w:style>
  <w:style w:type="paragraph" w:customStyle="1" w:styleId="ReportAnswerBox">
    <w:name w:val="Report Answer Box"/>
    <w:basedOn w:val="NormalIndent"/>
    <w:pPr>
      <w:tabs>
        <w:tab w:val="left" w:pos="8647"/>
        <w:tab w:val="left" w:pos="9214"/>
      </w:tabs>
      <w:spacing w:before="240"/>
      <w:ind w:left="0" w:firstLine="0"/>
    </w:pPr>
  </w:style>
  <w:style w:type="paragraph" w:customStyle="1" w:styleId="ReportCheckbox">
    <w:name w:val="Report Checkbox"/>
    <w:basedOn w:val="Normal"/>
    <w:next w:val="Normal"/>
    <w:pPr>
      <w:ind w:left="1135" w:hanging="567"/>
    </w:pPr>
  </w:style>
  <w:style w:type="paragraph" w:customStyle="1" w:styleId="ReportIndent1">
    <w:name w:val="Report Indent 1"/>
    <w:basedOn w:val="Normal"/>
    <w:pPr>
      <w:ind w:left="567" w:firstLine="1"/>
    </w:pPr>
  </w:style>
  <w:style w:type="paragraph" w:customStyle="1" w:styleId="ReportIndent2">
    <w:name w:val="Report Indent 2"/>
    <w:basedOn w:val="ReportIndent1"/>
    <w:pPr>
      <w:ind w:left="1134" w:firstLine="0"/>
    </w:pPr>
  </w:style>
  <w:style w:type="paragraph" w:customStyle="1" w:styleId="ReportHeader">
    <w:name w:val="Report Header"/>
    <w:basedOn w:val="Normal"/>
    <w:pPr>
      <w:tabs>
        <w:tab w:val="right" w:pos="8647"/>
        <w:tab w:val="right" w:leader="dot" w:pos="9923"/>
      </w:tabs>
    </w:pPr>
    <w:rPr>
      <w:b/>
      <w:i/>
      <w:sz w:val="20"/>
    </w:rPr>
  </w:style>
  <w:style w:type="paragraph" w:customStyle="1" w:styleId="LetterHead1">
    <w:name w:val="LetterHead1"/>
    <w:basedOn w:val="Normal"/>
    <w:pPr>
      <w:framePr w:w="10620" w:hSpace="181" w:vSpace="181" w:wrap="auto" w:vAnchor="page" w:hAnchor="page" w:x="805" w:y="1022"/>
      <w:ind w:left="7372" w:right="-1329"/>
    </w:pPr>
    <w:rPr>
      <w:rFonts w:ascii="Arial" w:hAnsi="Arial"/>
      <w:b/>
      <w:sz w:val="20"/>
    </w:rPr>
  </w:style>
  <w:style w:type="paragraph" w:customStyle="1" w:styleId="ReportCheckboxhalf">
    <w:name w:val="Report Checkbox + half"/>
    <w:basedOn w:val="ReportCheckbox"/>
    <w:next w:val="Normal"/>
    <w:pPr>
      <w:spacing w:after="120"/>
      <w:ind w:left="1134"/>
    </w:pPr>
  </w:style>
  <w:style w:type="paragraph" w:customStyle="1" w:styleId="ReportFooter">
    <w:name w:val="Report Footer"/>
    <w:basedOn w:val="Normal"/>
    <w:pPr>
      <w:pBdr>
        <w:top w:val="single" w:sz="6" w:space="3" w:color="auto"/>
      </w:pBdr>
      <w:tabs>
        <w:tab w:val="right" w:pos="9923"/>
      </w:tabs>
    </w:pPr>
    <w:rPr>
      <w:sz w:val="16"/>
    </w:rPr>
  </w:style>
  <w:style w:type="paragraph" w:customStyle="1" w:styleId="Hotwordlist">
    <w:name w:val="Hotword list"/>
    <w:basedOn w:val="Normal"/>
    <w:pPr>
      <w:spacing w:before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jects\CCPS\templates\CCPS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CCPS questionnaire</Template>
  <TotalTime>0</TotalTime>
  <Pages>2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 melanotic malignant neoplasm of the skin - Cutaneous contact with paraquat</vt:lpstr>
    </vt:vector>
  </TitlesOfParts>
  <Company>SoftLaw Corporation</Company>
  <LinksUpToDate>false</LinksUpToDate>
  <CharactersWithSpaces>1772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 melanotic malignant neoplasm of the skin - Cutaneous contact with paraquat</dc:title>
  <dc:subject>Questionnaires</dc:subject>
  <dc:creator>SoftLaw Corporation</dc:creator>
  <cp:lastModifiedBy>CMCKEG</cp:lastModifiedBy>
  <cp:revision>2</cp:revision>
  <cp:lastPrinted>1993-07-29T08:23:00Z</cp:lastPrinted>
  <dcterms:created xsi:type="dcterms:W3CDTF">2015-04-28T23:02:00Z</dcterms:created>
  <dcterms:modified xsi:type="dcterms:W3CDTF">2015-04-28T23:02:00Z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dition">
    <vt:lpwstr>non melanotic malignant neoplasm of the skin</vt:lpwstr>
  </property>
  <property fmtid="{D5CDD505-2E9C-101B-9397-08002B2CF9AE}" pid="3" name="Contention">
    <vt:lpwstr>Cutaneous contact with paraquat</vt:lpwstr>
  </property>
  <property fmtid="{D5CDD505-2E9C-101B-9397-08002B2CF9AE}" pid="4" name="ReportType">
    <vt:lpwstr>Claimant</vt:lpwstr>
  </property>
  <property fmtid="{D5CDD505-2E9C-101B-9397-08002B2CF9AE}" pid="5" name="LastModified">
    <vt:lpwstr>31/03/2005</vt:lpwstr>
  </property>
  <property fmtid="{D5CDD505-2E9C-101B-9397-08002B2CF9AE}" pid="6" name="DocumentID">
    <vt:lpwstr>CSCB046CR9240 31/03/2005</vt:lpwstr>
  </property>
  <property fmtid="{D5CDD505-2E9C-101B-9397-08002B2CF9AE}" pid="7" name="ReportNumber">
    <vt:lpwstr>9240</vt:lpwstr>
  </property>
  <property fmtid="{D5CDD505-2E9C-101B-9397-08002B2CF9AE}" pid="8" name="SOP">
    <vt:lpwstr>B046</vt:lpwstr>
  </property>
  <property fmtid="{D5CDD505-2E9C-101B-9397-08002B2CF9AE}" pid="9" name="DocumentName">
    <vt:lpwstr>CR9240</vt:lpwstr>
  </property>
</Properties>
</file>