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C" w:rsidRDefault="00130DCC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30DCC" w:rsidRDefault="00130DCC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 w:rsidR="007421DA">
        <w:t>Cutaneous Contact w</w:t>
      </w:r>
      <w:r>
        <w:t>ith Polycyclic Aromatic Hydrocarbons</w:t>
      </w:r>
      <w:bookmarkEnd w:id="1"/>
    </w:p>
    <w:p w:rsidR="00130DCC" w:rsidRDefault="00130DCC">
      <w:pPr>
        <w:pStyle w:val="ReportTitle"/>
      </w:pPr>
      <w:bookmarkStart w:id="4" w:name="Condition"/>
      <w:bookmarkStart w:id="5" w:name="QuestionnaireCondition"/>
      <w:bookmarkEnd w:id="4"/>
      <w:r>
        <w:t>No</w:t>
      </w:r>
      <w:r w:rsidR="007421DA">
        <w:t>n Melanotic Malignant Neoplasm o</w:t>
      </w:r>
      <w:bookmarkStart w:id="6" w:name="_GoBack"/>
      <w:bookmarkEnd w:id="6"/>
      <w:r>
        <w:t>f The Skin</w:t>
      </w:r>
      <w:bookmarkEnd w:id="5"/>
    </w:p>
    <w:p w:rsidR="00130DCC" w:rsidRDefault="00130DCC">
      <w:pPr>
        <w:pStyle w:val="ReportPrivacy"/>
      </w:pPr>
      <w:bookmarkStart w:id="7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5647E4">
        <w:t>1986 and/or Military Rehabilitation and Compensation Act 2004</w:t>
      </w:r>
      <w:r w:rsidR="005138F6">
        <w:t>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7"/>
    <w:p w:rsidR="00130DCC" w:rsidRDefault="00130DCC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130DCC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130DCC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DCC" w:rsidRDefault="00130DC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DCC" w:rsidRDefault="00130DCC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DCC" w:rsidRDefault="00130DCC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DCC" w:rsidRDefault="00130DCC">
            <w:pPr>
              <w:pStyle w:val="ReportVeteran"/>
            </w:pPr>
          </w:p>
        </w:tc>
      </w:tr>
    </w:tbl>
    <w:p w:rsidR="00130DCC" w:rsidRDefault="00130DCC" w:rsidP="0094748C">
      <w:pPr>
        <w:pStyle w:val="ReportSection"/>
        <w:spacing w:after="0"/>
      </w:pPr>
      <w:r>
        <w:t>Report Detail</w:t>
      </w:r>
    </w:p>
    <w:p w:rsidR="00C40D7C" w:rsidRDefault="00C40D7C" w:rsidP="00C40D7C">
      <w:pPr>
        <w:spacing w:before="240"/>
        <w:rPr>
          <w:snapToGrid w:val="0"/>
        </w:rPr>
      </w:pPr>
      <w:bookmarkStart w:id="8" w:name="ReportBody"/>
      <w:bookmarkStart w:id="9" w:name="Preamble"/>
      <w:bookmarkEnd w:id="8"/>
      <w:bookmarkEnd w:id="9"/>
      <w:r>
        <w:rPr>
          <w:snapToGrid w:val="0"/>
        </w:rPr>
        <w:t>Cutaneous contact with agents containing high concentrations of p</w:t>
      </w:r>
      <w:r w:rsidRPr="0094748C">
        <w:rPr>
          <w:snapToGrid w:val="0"/>
        </w:rPr>
        <w:t>olycyc</w:t>
      </w:r>
      <w:r>
        <w:rPr>
          <w:snapToGrid w:val="0"/>
        </w:rPr>
        <w:t xml:space="preserve">lic aromatic hydrocarbons (PAH) - </w:t>
      </w:r>
      <w:proofErr w:type="spellStart"/>
      <w:r>
        <w:rPr>
          <w:snapToGrid w:val="0"/>
        </w:rPr>
        <w:t>ie</w:t>
      </w:r>
      <w:proofErr w:type="spellEnd"/>
      <w:r>
        <w:rPr>
          <w:snapToGrid w:val="0"/>
        </w:rPr>
        <w:t xml:space="preserve"> the </w:t>
      </w:r>
      <w:r w:rsidRPr="0094748C">
        <w:rPr>
          <w:snapToGrid w:val="0"/>
        </w:rPr>
        <w:t>chemical substances formed during the combustion of organic material or during high temperature processing of crude oil, coke, or other industrial carbon compounds</w:t>
      </w:r>
      <w:r>
        <w:rPr>
          <w:snapToGrid w:val="0"/>
        </w:rPr>
        <w:t xml:space="preserve"> - may be a factor in the development of </w:t>
      </w:r>
      <w:r w:rsidR="00E864C4">
        <w:rPr>
          <w:snapToGrid w:val="0"/>
          <w:szCs w:val="24"/>
        </w:rPr>
        <w:t>the claimed condition</w:t>
      </w:r>
      <w:r w:rsidRPr="0094748C">
        <w:rPr>
          <w:snapToGrid w:val="0"/>
        </w:rPr>
        <w:t>.</w:t>
      </w:r>
    </w:p>
    <w:p w:rsidR="00C40D7C" w:rsidRDefault="00C40D7C" w:rsidP="00C40D7C">
      <w:pPr>
        <w:spacing w:before="240" w:after="120"/>
      </w:pPr>
      <w:r>
        <w:t>The Repatriation Medical Authority has defined "agents containing high concentrations of polycyclic aromatic hydrocarbons (PAHs), as specified" to mean: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spacing w:before="120"/>
        <w:ind w:left="567" w:firstLine="0"/>
        <w:textAlignment w:val="auto"/>
      </w:pPr>
      <w:r>
        <w:t>concentrated coal tar distillates;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ind w:left="567" w:firstLine="0"/>
        <w:textAlignment w:val="auto"/>
      </w:pPr>
      <w:r>
        <w:t>creosote;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ind w:left="567" w:firstLine="0"/>
        <w:textAlignment w:val="auto"/>
      </w:pPr>
      <w:r>
        <w:t>crude oil;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ind w:left="567" w:firstLine="0"/>
        <w:textAlignment w:val="auto"/>
      </w:pPr>
      <w:r>
        <w:t>metal working fluids;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ind w:left="567" w:firstLine="0"/>
        <w:textAlignment w:val="auto"/>
      </w:pPr>
      <w:r>
        <w:t>molten bitumen or fumes from molten bitumen;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ind w:left="567" w:firstLine="0"/>
        <w:textAlignment w:val="auto"/>
      </w:pPr>
      <w:r>
        <w:t>shale oil;  or</w:t>
      </w:r>
    </w:p>
    <w:p w:rsidR="00C40D7C" w:rsidRDefault="00C40D7C" w:rsidP="00C40D7C">
      <w:pPr>
        <w:numPr>
          <w:ilvl w:val="0"/>
          <w:numId w:val="3"/>
        </w:numPr>
        <w:tabs>
          <w:tab w:val="clear" w:pos="1080"/>
          <w:tab w:val="left" w:pos="426"/>
          <w:tab w:val="num" w:pos="1506"/>
        </w:tabs>
        <w:overflowPunct/>
        <w:ind w:left="567" w:firstLine="0"/>
        <w:textAlignment w:val="auto"/>
      </w:pPr>
      <w:r>
        <w:t>soot.</w:t>
      </w:r>
    </w:p>
    <w:p w:rsidR="00C40D7C" w:rsidRDefault="00C40D7C" w:rsidP="00C40D7C">
      <w:pPr>
        <w:spacing w:before="240" w:after="240"/>
        <w:rPr>
          <w:i/>
        </w:rPr>
      </w:pPr>
      <w:r>
        <w:t xml:space="preserve">Is there a history </w:t>
      </w:r>
      <w:r>
        <w:rPr>
          <w:b/>
        </w:rPr>
        <w:t>at any time</w:t>
      </w:r>
      <w:r>
        <w:t>, both service and non-service periods, of cutaneous contact (</w:t>
      </w:r>
      <w:proofErr w:type="spellStart"/>
      <w:r>
        <w:t>ie</w:t>
      </w:r>
      <w:proofErr w:type="spellEnd"/>
      <w:r>
        <w:t xml:space="preserve"> contact of the skin) with polycyclic aromatic hydrocarbons, as defined above, for a cumulative period of </w:t>
      </w:r>
      <w:r>
        <w:rPr>
          <w:b/>
        </w:rPr>
        <w:t>at least 1000 days</w:t>
      </w:r>
      <w:r>
        <w:t>?</w:t>
      </w:r>
    </w:p>
    <w:p w:rsidR="00C40D7C" w:rsidRDefault="00C40D7C" w:rsidP="00C40D7C">
      <w:p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C40D7C" w:rsidRDefault="00C40D7C" w:rsidP="00C40D7C">
      <w:pPr>
        <w:spacing w:after="24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provide details on the next page, being as specific as possible:</w:t>
      </w:r>
    </w:p>
    <w:p w:rsidR="00C40D7C" w:rsidRDefault="00C40D7C" w:rsidP="00C40D7C">
      <w:pPr>
        <w:spacing w:after="240"/>
        <w:ind w:left="1134" w:hanging="567"/>
      </w:pPr>
      <w:r>
        <w:br w:type="page"/>
      </w:r>
      <w:r>
        <w:lastRenderedPageBreak/>
        <w:t>Details of cutaneous (skin) contact with PAHs:</w:t>
      </w:r>
    </w:p>
    <w:tbl>
      <w:tblPr>
        <w:tblW w:w="9923" w:type="dxa"/>
        <w:jc w:val="center"/>
        <w:tblBorders>
          <w:top w:val="single" w:sz="12" w:space="0" w:color="C0C0C0"/>
          <w:left w:val="single" w:sz="12" w:space="0" w:color="C0C0C0"/>
          <w:bottom w:val="single" w:sz="12" w:space="0" w:color="808080"/>
          <w:right w:val="single" w:sz="12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977"/>
      </w:tblGrid>
      <w:tr w:rsidR="00C40D7C" w:rsidTr="00CD004A">
        <w:trPr>
          <w:jc w:val="center"/>
        </w:trPr>
        <w:tc>
          <w:tcPr>
            <w:tcW w:w="2410" w:type="dxa"/>
            <w:tcBorders>
              <w:top w:val="single" w:sz="12" w:space="0" w:color="C0C0C0"/>
            </w:tcBorders>
          </w:tcPr>
          <w:p w:rsidR="00C40D7C" w:rsidRDefault="00C40D7C" w:rsidP="00CD004A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Period of cutaneous contact with PAHs</w:t>
            </w:r>
          </w:p>
        </w:tc>
        <w:tc>
          <w:tcPr>
            <w:tcW w:w="4536" w:type="dxa"/>
            <w:tcBorders>
              <w:top w:val="single" w:sz="12" w:space="0" w:color="C0C0C0"/>
            </w:tcBorders>
          </w:tcPr>
          <w:p w:rsidR="00C40D7C" w:rsidRDefault="00C40D7C" w:rsidP="00CD004A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 of cutaneous contact with PAHs including activity being performed, the source of PAH, how contact occurred and the place where contact occurred</w:t>
            </w:r>
          </w:p>
        </w:tc>
        <w:tc>
          <w:tcPr>
            <w:tcW w:w="2977" w:type="dxa"/>
            <w:tcBorders>
              <w:top w:val="single" w:sz="12" w:space="0" w:color="C0C0C0"/>
            </w:tcBorders>
          </w:tcPr>
          <w:p w:rsidR="00C40D7C" w:rsidRDefault="00C40D7C" w:rsidP="00CD004A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Number of days per week of cutaneous contact with PAHs during this period</w:t>
            </w: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</w:tcPr>
          <w:p w:rsidR="00C40D7C" w:rsidRDefault="00C40D7C" w:rsidP="00CD004A">
            <w:pPr>
              <w:pStyle w:val="Hotwordlist"/>
              <w:spacing w:after="120"/>
            </w:pPr>
          </w:p>
        </w:tc>
        <w:tc>
          <w:tcPr>
            <w:tcW w:w="2977" w:type="dxa"/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</w:tcPr>
          <w:p w:rsidR="00C40D7C" w:rsidRDefault="00C40D7C" w:rsidP="00CD004A">
            <w:pPr>
              <w:spacing w:after="120"/>
            </w:pPr>
          </w:p>
        </w:tc>
        <w:tc>
          <w:tcPr>
            <w:tcW w:w="2977" w:type="dxa"/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</w:tcPr>
          <w:p w:rsidR="00C40D7C" w:rsidRDefault="00C40D7C" w:rsidP="00CD004A">
            <w:pPr>
              <w:spacing w:after="120"/>
            </w:pPr>
          </w:p>
        </w:tc>
        <w:tc>
          <w:tcPr>
            <w:tcW w:w="2977" w:type="dxa"/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</w:tcPr>
          <w:p w:rsidR="00C40D7C" w:rsidRDefault="00C40D7C" w:rsidP="00CD004A">
            <w:pPr>
              <w:spacing w:after="120"/>
            </w:pPr>
          </w:p>
        </w:tc>
        <w:tc>
          <w:tcPr>
            <w:tcW w:w="2977" w:type="dxa"/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</w:tcPr>
          <w:p w:rsidR="00C40D7C" w:rsidRDefault="00C40D7C" w:rsidP="00CD004A">
            <w:pPr>
              <w:spacing w:after="120"/>
            </w:pPr>
          </w:p>
        </w:tc>
        <w:tc>
          <w:tcPr>
            <w:tcW w:w="2977" w:type="dxa"/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</w:tcPr>
          <w:p w:rsidR="00C40D7C" w:rsidRDefault="00C40D7C" w:rsidP="00CD004A">
            <w:pPr>
              <w:spacing w:after="120"/>
            </w:pPr>
          </w:p>
        </w:tc>
        <w:tc>
          <w:tcPr>
            <w:tcW w:w="2977" w:type="dxa"/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  <w:tr w:rsidR="00C40D7C" w:rsidTr="00CD004A">
        <w:trPr>
          <w:trHeight w:val="1134"/>
          <w:jc w:val="center"/>
        </w:trPr>
        <w:tc>
          <w:tcPr>
            <w:tcW w:w="2410" w:type="dxa"/>
            <w:tcBorders>
              <w:bottom w:val="single" w:sz="12" w:space="0" w:color="808080"/>
            </w:tcBorders>
            <w:vAlign w:val="center"/>
          </w:tcPr>
          <w:p w:rsidR="00C40D7C" w:rsidRDefault="00C40D7C" w:rsidP="00CD004A">
            <w:pPr>
              <w:tabs>
                <w:tab w:val="center" w:pos="851"/>
                <w:tab w:val="center" w:pos="1560"/>
              </w:tabs>
              <w:spacing w:after="120"/>
            </w:pPr>
            <w:r>
              <w:t xml:space="preserve">    /    /      to       /    /</w:t>
            </w:r>
          </w:p>
        </w:tc>
        <w:tc>
          <w:tcPr>
            <w:tcW w:w="4536" w:type="dxa"/>
            <w:tcBorders>
              <w:bottom w:val="single" w:sz="12" w:space="0" w:color="808080"/>
            </w:tcBorders>
          </w:tcPr>
          <w:p w:rsidR="00C40D7C" w:rsidRDefault="00C40D7C" w:rsidP="00CD004A">
            <w:pPr>
              <w:spacing w:after="120"/>
            </w:pPr>
          </w:p>
        </w:tc>
        <w:tc>
          <w:tcPr>
            <w:tcW w:w="2977" w:type="dxa"/>
            <w:tcBorders>
              <w:bottom w:val="single" w:sz="12" w:space="0" w:color="808080"/>
            </w:tcBorders>
          </w:tcPr>
          <w:p w:rsidR="00C40D7C" w:rsidRDefault="00C40D7C" w:rsidP="00CD004A">
            <w:pPr>
              <w:spacing w:after="120"/>
            </w:pPr>
          </w:p>
          <w:p w:rsidR="00C40D7C" w:rsidRDefault="00C40D7C" w:rsidP="00CD004A">
            <w:pPr>
              <w:spacing w:after="120"/>
            </w:pPr>
          </w:p>
        </w:tc>
      </w:tr>
    </w:tbl>
    <w:p w:rsidR="00130DCC" w:rsidRDefault="00130DCC"/>
    <w:p w:rsidR="00130DCC" w:rsidRDefault="00130DCC">
      <w:pPr>
        <w:rPr>
          <w:sz w:val="16"/>
        </w:rPr>
      </w:pPr>
      <w:bookmarkStart w:id="10" w:name="WorseningQuestions"/>
      <w:bookmarkEnd w:id="10"/>
    </w:p>
    <w:p w:rsidR="00130DCC" w:rsidRDefault="00130DCC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130DCC" w:rsidRDefault="00130DCC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130DCC" w:rsidRDefault="00130DCC" w:rsidP="00130DCC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130DCC" w:rsidRDefault="00130DCC" w:rsidP="00130DCC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130DCC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30DCC" w:rsidRDefault="00130DCC">
            <w:pPr>
              <w:framePr w:hSpace="181" w:wrap="notBeside" w:hAnchor="margin" w:yAlign="bottom"/>
            </w:pPr>
          </w:p>
        </w:tc>
      </w:tr>
      <w:tr w:rsidR="00130DCC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0DCC" w:rsidRDefault="00130DCC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130DCC" w:rsidRDefault="00130DCC">
      <w:pPr>
        <w:rPr>
          <w:sz w:val="16"/>
        </w:rPr>
      </w:pPr>
    </w:p>
    <w:sectPr w:rsidR="00130DCC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26" w:rsidRDefault="00A84C26">
      <w:r>
        <w:separator/>
      </w:r>
    </w:p>
  </w:endnote>
  <w:endnote w:type="continuationSeparator" w:id="0">
    <w:p w:rsidR="00A84C26" w:rsidRDefault="00A8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E787CC7F-E099-4BC1-B71B-8206D25CD58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C" w:rsidRDefault="00130DCC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 w:rsidR="00C40D7C">
      <w:tab/>
      <w:t>CSCB046CR9194 22/08/2007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26" w:rsidRDefault="00A84C26">
      <w:r>
        <w:separator/>
      </w:r>
    </w:p>
  </w:footnote>
  <w:footnote w:type="continuationSeparator" w:id="0">
    <w:p w:rsidR="00A84C26" w:rsidRDefault="00A8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CC" w:rsidRDefault="00130DCC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466"/>
    <w:multiLevelType w:val="singleLevel"/>
    <w:tmpl w:val="55A4F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288141D"/>
    <w:multiLevelType w:val="hybridMultilevel"/>
    <w:tmpl w:val="FC3AF7C6"/>
    <w:lvl w:ilvl="0" w:tplc="442A586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AA5495"/>
    <w:multiLevelType w:val="singleLevel"/>
    <w:tmpl w:val="55A4F22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OrCloseUpPara" w:val=" 3"/>
  </w:docVars>
  <w:rsids>
    <w:rsidRoot w:val="00130DCC"/>
    <w:rsid w:val="00130DCC"/>
    <w:rsid w:val="005138F6"/>
    <w:rsid w:val="005647E4"/>
    <w:rsid w:val="007421DA"/>
    <w:rsid w:val="0094748C"/>
    <w:rsid w:val="00A84C26"/>
    <w:rsid w:val="00C40D7C"/>
    <w:rsid w:val="00CD004A"/>
    <w:rsid w:val="00D41AAC"/>
    <w:rsid w:val="00E8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370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CMANGN</cp:lastModifiedBy>
  <cp:revision>3</cp:revision>
  <cp:lastPrinted>1993-07-29T08:23:00Z</cp:lastPrinted>
  <dcterms:created xsi:type="dcterms:W3CDTF">2015-04-28T22:57:00Z</dcterms:created>
  <dcterms:modified xsi:type="dcterms:W3CDTF">2015-06-05T05:47:00Z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Non Melanotic Malignant Neoplasm of the Skin</vt:lpwstr>
  </property>
  <property fmtid="{D5CDD505-2E9C-101B-9397-08002B2CF9AE}" pid="3" name="Contention">
    <vt:lpwstr>Cutaneous Contact with Polycyclic Aromatic Hydrocarbons</vt:lpwstr>
  </property>
  <property fmtid="{D5CDD505-2E9C-101B-9397-08002B2CF9AE}" pid="4" name="ReportType">
    <vt:lpwstr>Claimant</vt:lpwstr>
  </property>
  <property fmtid="{D5CDD505-2E9C-101B-9397-08002B2CF9AE}" pid="5" name="LastModified">
    <vt:lpwstr>28/11/2001</vt:lpwstr>
  </property>
  <property fmtid="{D5CDD505-2E9C-101B-9397-08002B2CF9AE}" pid="6" name="DocumentID">
    <vt:lpwstr>CSCB046CR9191 28/11/2001</vt:lpwstr>
  </property>
  <property fmtid="{D5CDD505-2E9C-101B-9397-08002B2CF9AE}" pid="7" name="ReportNumber">
    <vt:lpwstr>9191</vt:lpwstr>
  </property>
  <property fmtid="{D5CDD505-2E9C-101B-9397-08002B2CF9AE}" pid="8" name="SOP">
    <vt:lpwstr>B046</vt:lpwstr>
  </property>
  <property fmtid="{D5CDD505-2E9C-101B-9397-08002B2CF9AE}" pid="9" name="DocumentName">
    <vt:lpwstr>CR9191</vt:lpwstr>
  </property>
</Properties>
</file>