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15D" w:rsidRDefault="0071215D">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71215D" w:rsidRDefault="0071215D">
      <w:pPr>
        <w:pStyle w:val="ReportTitle"/>
      </w:pPr>
      <w:bookmarkStart w:id="0" w:name="ReportType"/>
      <w:bookmarkStart w:id="1" w:name="QuestionnaireTitle"/>
      <w:bookmarkStart w:id="2" w:name="DVAHead"/>
      <w:bookmarkEnd w:id="0"/>
      <w:r>
        <w:t xml:space="preserve">Claimant Report - </w:t>
      </w:r>
      <w:bookmarkStart w:id="3" w:name="Contention"/>
      <w:bookmarkEnd w:id="3"/>
      <w:r>
        <w:t>Polycyclic Aromatic Hydrocarbons</w:t>
      </w:r>
      <w:bookmarkEnd w:id="1"/>
    </w:p>
    <w:p w:rsidR="0071215D" w:rsidRDefault="0071215D">
      <w:pPr>
        <w:pStyle w:val="ReportTitle"/>
      </w:pPr>
      <w:bookmarkStart w:id="4" w:name="Condition"/>
      <w:bookmarkStart w:id="5" w:name="QuestionnaireCondition"/>
      <w:bookmarkEnd w:id="4"/>
      <w:r>
        <w:t>Malignant Neoplasm of the Bladder</w:t>
      </w:r>
      <w:bookmarkEnd w:id="5"/>
    </w:p>
    <w:p w:rsidR="0071215D" w:rsidRDefault="0071215D">
      <w:pPr>
        <w:pStyle w:val="ReportPrivacy"/>
      </w:pPr>
      <w:bookmarkStart w:id="6" w:name="Disclaimer"/>
      <w:bookmarkEnd w:id="2"/>
      <w:r>
        <w:t xml:space="preserve">This form is in connection with your claim for pension and medical treatment and the information you supply will assist in deciding eligibility for benefits under the Veterans' Entitlements Act </w:t>
      </w:r>
      <w:r w:rsidR="005D6FEE">
        <w:t>1986 and/or Military Rehabilit</w:t>
      </w:r>
      <w:r w:rsidR="007C2445">
        <w:t>ation and Compensation Act 2004.</w:t>
      </w:r>
      <w:r>
        <w:t xml:space="preserve">   In the event of an appeal against a decision, this information may be provided to the Veterans' Review Board, Administrative Appeals Tribunal or Federal Court.</w:t>
      </w:r>
    </w:p>
    <w:bookmarkEnd w:id="6"/>
    <w:p w:rsidR="0071215D" w:rsidRDefault="0071215D">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71215D">
        <w:tblPrEx>
          <w:tblCellMar>
            <w:top w:w="0" w:type="dxa"/>
            <w:bottom w:w="0" w:type="dxa"/>
          </w:tblCellMar>
        </w:tblPrEx>
        <w:trPr>
          <w:gridAfter w:val="1"/>
          <w:wAfter w:w="15" w:type="dxa"/>
          <w:cantSplit/>
        </w:trPr>
        <w:tc>
          <w:tcPr>
            <w:tcW w:w="3040" w:type="dxa"/>
            <w:tcBorders>
              <w:top w:val="nil"/>
              <w:left w:val="nil"/>
              <w:bottom w:val="nil"/>
              <w:right w:val="nil"/>
            </w:tcBorders>
          </w:tcPr>
          <w:p w:rsidR="0071215D" w:rsidRDefault="0071215D">
            <w:pPr>
              <w:rPr>
                <w:b/>
              </w:rPr>
            </w:pPr>
            <w:r>
              <w:rPr>
                <w:b/>
              </w:rPr>
              <w:t>Surname</w:t>
            </w:r>
          </w:p>
        </w:tc>
        <w:tc>
          <w:tcPr>
            <w:tcW w:w="270" w:type="dxa"/>
            <w:tcBorders>
              <w:top w:val="nil"/>
              <w:left w:val="nil"/>
              <w:bottom w:val="nil"/>
              <w:right w:val="nil"/>
            </w:tcBorders>
          </w:tcPr>
          <w:p w:rsidR="0071215D" w:rsidRDefault="0071215D">
            <w:pPr>
              <w:rPr>
                <w:b/>
              </w:rPr>
            </w:pPr>
          </w:p>
        </w:tc>
        <w:tc>
          <w:tcPr>
            <w:tcW w:w="3557" w:type="dxa"/>
            <w:gridSpan w:val="2"/>
            <w:tcBorders>
              <w:top w:val="nil"/>
              <w:left w:val="nil"/>
              <w:bottom w:val="nil"/>
              <w:right w:val="nil"/>
            </w:tcBorders>
          </w:tcPr>
          <w:p w:rsidR="0071215D" w:rsidRDefault="0071215D">
            <w:pPr>
              <w:rPr>
                <w:b/>
              </w:rPr>
            </w:pPr>
            <w:r>
              <w:rPr>
                <w:b/>
              </w:rPr>
              <w:t>Given Names</w:t>
            </w:r>
          </w:p>
        </w:tc>
        <w:tc>
          <w:tcPr>
            <w:tcW w:w="283" w:type="dxa"/>
            <w:gridSpan w:val="2"/>
            <w:tcBorders>
              <w:top w:val="nil"/>
              <w:left w:val="nil"/>
              <w:bottom w:val="nil"/>
              <w:right w:val="nil"/>
            </w:tcBorders>
          </w:tcPr>
          <w:p w:rsidR="0071215D" w:rsidRDefault="0071215D">
            <w:pPr>
              <w:rPr>
                <w:b/>
              </w:rPr>
            </w:pPr>
          </w:p>
        </w:tc>
        <w:tc>
          <w:tcPr>
            <w:tcW w:w="2836" w:type="dxa"/>
            <w:gridSpan w:val="2"/>
            <w:tcBorders>
              <w:top w:val="nil"/>
              <w:left w:val="nil"/>
              <w:bottom w:val="nil"/>
              <w:right w:val="nil"/>
            </w:tcBorders>
          </w:tcPr>
          <w:p w:rsidR="0071215D" w:rsidRDefault="0071215D">
            <w:pPr>
              <w:rPr>
                <w:b/>
              </w:rPr>
            </w:pPr>
            <w:r>
              <w:rPr>
                <w:b/>
              </w:rPr>
              <w:t>DVA File Number</w:t>
            </w:r>
          </w:p>
        </w:tc>
      </w:tr>
      <w:tr w:rsidR="0071215D">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71215D" w:rsidRDefault="0071215D">
            <w:pPr>
              <w:pStyle w:val="ReportVeteran"/>
            </w:pPr>
          </w:p>
        </w:tc>
        <w:tc>
          <w:tcPr>
            <w:tcW w:w="284" w:type="dxa"/>
            <w:gridSpan w:val="2"/>
            <w:tcBorders>
              <w:top w:val="nil"/>
              <w:left w:val="nil"/>
              <w:bottom w:val="nil"/>
              <w:right w:val="nil"/>
            </w:tcBorders>
          </w:tcPr>
          <w:p w:rsidR="0071215D" w:rsidRDefault="0071215D">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71215D" w:rsidRDefault="0071215D">
            <w:pPr>
              <w:pStyle w:val="ReportVeteran"/>
            </w:pPr>
          </w:p>
        </w:tc>
        <w:tc>
          <w:tcPr>
            <w:tcW w:w="284" w:type="dxa"/>
            <w:gridSpan w:val="2"/>
            <w:tcBorders>
              <w:top w:val="nil"/>
              <w:left w:val="nil"/>
              <w:bottom w:val="nil"/>
              <w:right w:val="nil"/>
            </w:tcBorders>
          </w:tcPr>
          <w:p w:rsidR="0071215D" w:rsidRDefault="0071215D">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71215D" w:rsidRDefault="0071215D">
            <w:pPr>
              <w:pStyle w:val="ReportVeteran"/>
            </w:pPr>
            <w:bookmarkStart w:id="7" w:name="_GoBack"/>
            <w:bookmarkEnd w:id="7"/>
          </w:p>
        </w:tc>
      </w:tr>
    </w:tbl>
    <w:p w:rsidR="0071215D" w:rsidRDefault="0071215D">
      <w:pPr>
        <w:pStyle w:val="ReportSection"/>
      </w:pPr>
      <w:r>
        <w:t>Report Detail</w:t>
      </w:r>
    </w:p>
    <w:p w:rsidR="000B544E" w:rsidRPr="00846FA9" w:rsidRDefault="000B544E" w:rsidP="000B544E">
      <w:pPr>
        <w:spacing w:before="240"/>
        <w:rPr>
          <w:szCs w:val="24"/>
        </w:rPr>
      </w:pPr>
      <w:bookmarkStart w:id="8" w:name="ReportBody"/>
      <w:bookmarkStart w:id="9" w:name="Preamble"/>
      <w:bookmarkStart w:id="10" w:name="StartHere"/>
      <w:bookmarkStart w:id="11" w:name="SignatureBlock"/>
      <w:bookmarkEnd w:id="8"/>
      <w:bookmarkEnd w:id="9"/>
      <w:bookmarkEnd w:id="10"/>
      <w:r w:rsidRPr="00846FA9">
        <w:rPr>
          <w:szCs w:val="24"/>
        </w:rPr>
        <w:t>Polycyclic aromatic hydrocarbons (PAH) are chemical substances formed during the combustion of organic material or during high temperature processing of crude oil, coke, or other industrial carbon compounds.</w:t>
      </w:r>
    </w:p>
    <w:p w:rsidR="000B544E" w:rsidRPr="00846FA9" w:rsidRDefault="000B544E" w:rsidP="000B544E">
      <w:pPr>
        <w:spacing w:before="120" w:after="240"/>
        <w:rPr>
          <w:szCs w:val="24"/>
        </w:rPr>
      </w:pPr>
      <w:r w:rsidRPr="00846FA9">
        <w:rPr>
          <w:szCs w:val="24"/>
        </w:rPr>
        <w:t xml:space="preserve">There are many sources of PAH vapour eg cigarette smoke (ie burning tobacco), automobile exhausts, working with creosote and even the oil fires during the Gulf War.  However, exposure to PAH has to occur </w:t>
      </w:r>
      <w:r>
        <w:rPr>
          <w:szCs w:val="24"/>
        </w:rPr>
        <w:t>for a prolonged period</w:t>
      </w:r>
      <w:r w:rsidRPr="00846FA9">
        <w:rPr>
          <w:szCs w:val="24"/>
        </w:rPr>
        <w:t xml:space="preserve"> before it becomes a risk factor for developing malignant neoplasm of the bladder.</w:t>
      </w:r>
    </w:p>
    <w:p w:rsidR="000B544E" w:rsidRPr="00846FA9" w:rsidRDefault="000B544E" w:rsidP="000B544E">
      <w:pPr>
        <w:ind w:left="709" w:hanging="709"/>
        <w:rPr>
          <w:b/>
          <w:i/>
          <w:szCs w:val="24"/>
          <w:u w:val="single"/>
        </w:rPr>
      </w:pPr>
      <w:r>
        <w:rPr>
          <w:b/>
          <w:i/>
          <w:szCs w:val="24"/>
          <w:u w:val="single"/>
        </w:rPr>
        <w:t xml:space="preserve">A  </w:t>
      </w:r>
      <w:r w:rsidRPr="00846FA9">
        <w:rPr>
          <w:b/>
          <w:i/>
          <w:szCs w:val="24"/>
          <w:u w:val="single"/>
        </w:rPr>
        <w:t>Inhaling air containing polycyclic aromatic hydrocarbons</w:t>
      </w:r>
    </w:p>
    <w:p w:rsidR="000B544E" w:rsidRPr="00846FA9" w:rsidRDefault="000B544E" w:rsidP="000B544E">
      <w:pPr>
        <w:spacing w:before="240" w:after="120"/>
        <w:ind w:left="706" w:hanging="706"/>
        <w:rPr>
          <w:i/>
          <w:iCs/>
          <w:szCs w:val="24"/>
        </w:rPr>
      </w:pPr>
      <w:r w:rsidRPr="00846FA9">
        <w:rPr>
          <w:szCs w:val="24"/>
        </w:rPr>
        <w:t>1.</w:t>
      </w:r>
      <w:r w:rsidRPr="00846FA9">
        <w:rPr>
          <w:szCs w:val="24"/>
        </w:rPr>
        <w:tab/>
        <w:t>Has there been inhalation of air containing polycyclic aromatic hydrocarbons at a concentration level of 0.2 mg/m</w:t>
      </w:r>
      <w:r w:rsidRPr="00846FA9">
        <w:rPr>
          <w:szCs w:val="24"/>
          <w:vertAlign w:val="superscript"/>
        </w:rPr>
        <w:t>3</w:t>
      </w:r>
      <w:r w:rsidRPr="00846FA9">
        <w:rPr>
          <w:szCs w:val="24"/>
        </w:rPr>
        <w:t xml:space="preserve"> for a cumulative period </w:t>
      </w:r>
      <w:r>
        <w:rPr>
          <w:szCs w:val="24"/>
        </w:rPr>
        <w:t xml:space="preserve">of at least 5000 hours </w:t>
      </w:r>
      <w:r w:rsidRPr="00846FA9">
        <w:rPr>
          <w:szCs w:val="24"/>
        </w:rPr>
        <w:t>at some time?</w:t>
      </w:r>
      <w:r>
        <w:rPr>
          <w:szCs w:val="24"/>
        </w:rPr>
        <w:t xml:space="preserve">  </w:t>
      </w:r>
      <w:r w:rsidRPr="00BC05C1">
        <w:rPr>
          <w:b/>
          <w:i/>
          <w:szCs w:val="24"/>
        </w:rPr>
        <w:t>Note:</w:t>
      </w:r>
      <w:r w:rsidRPr="00BC05C1">
        <w:rPr>
          <w:i/>
          <w:szCs w:val="24"/>
        </w:rPr>
        <w:t xml:space="preserve"> 0.2 mg/m</w:t>
      </w:r>
      <w:r w:rsidRPr="00BC05C1">
        <w:rPr>
          <w:i/>
          <w:szCs w:val="24"/>
          <w:vertAlign w:val="superscript"/>
        </w:rPr>
        <w:t>3</w:t>
      </w:r>
      <w:r w:rsidRPr="00BC05C1">
        <w:rPr>
          <w:i/>
          <w:szCs w:val="24"/>
        </w:rPr>
        <w:t xml:space="preserve"> is a </w:t>
      </w:r>
      <w:r w:rsidRPr="00BC05C1">
        <w:rPr>
          <w:i/>
        </w:rPr>
        <w:t xml:space="preserve">very high concentration level well beyond that which would be permissible under normal workplace health and safety provisions.  Such concentrations would result in visible pollution and might occasionally occur, for example, within an enclosed vehicle workshop, when diesel exhaust fumes leak into a closed APC, or as a result of </w:t>
      </w:r>
      <w:r w:rsidRPr="00BC05C1">
        <w:rPr>
          <w:i/>
          <w:szCs w:val="24"/>
        </w:rPr>
        <w:t>the oil fires during the first Gulf War</w:t>
      </w:r>
      <w:r w:rsidRPr="0063677F">
        <w:t>.</w:t>
      </w:r>
    </w:p>
    <w:p w:rsidR="000B544E" w:rsidRPr="00846FA9" w:rsidRDefault="000B544E" w:rsidP="000B544E">
      <w:pPr>
        <w:ind w:left="1440" w:hanging="720"/>
        <w:rPr>
          <w:i/>
          <w:iCs/>
          <w:szCs w:val="24"/>
        </w:rPr>
      </w:pPr>
      <w:r w:rsidRPr="00846FA9">
        <w:rPr>
          <w:rFonts w:ascii="Wingdings" w:hAnsi="Wingdings" w:cs="Wingdings"/>
          <w:sz w:val="32"/>
          <w:szCs w:val="32"/>
        </w:rPr>
        <w:t></w:t>
      </w:r>
      <w:r w:rsidRPr="00846FA9">
        <w:rPr>
          <w:rFonts w:ascii="Wingdings" w:hAnsi="Wingdings" w:cs="Wingdings"/>
          <w:sz w:val="32"/>
          <w:szCs w:val="32"/>
        </w:rPr>
        <w:tab/>
      </w:r>
      <w:r w:rsidRPr="00846FA9">
        <w:rPr>
          <w:b/>
          <w:bCs/>
          <w:szCs w:val="24"/>
        </w:rPr>
        <w:t xml:space="preserve">No - </w:t>
      </w:r>
      <w:r w:rsidRPr="00846FA9">
        <w:rPr>
          <w:i/>
          <w:iCs/>
          <w:szCs w:val="24"/>
        </w:rPr>
        <w:t xml:space="preserve">Please </w:t>
      </w:r>
      <w:r>
        <w:rPr>
          <w:i/>
          <w:iCs/>
          <w:szCs w:val="24"/>
        </w:rPr>
        <w:t>go to Part B overleaf</w:t>
      </w:r>
    </w:p>
    <w:p w:rsidR="000B544E" w:rsidRDefault="000B544E" w:rsidP="000B544E">
      <w:pPr>
        <w:spacing w:after="120"/>
        <w:ind w:left="1440" w:hanging="720"/>
        <w:rPr>
          <w:szCs w:val="24"/>
        </w:rPr>
      </w:pPr>
      <w:r w:rsidRPr="00846FA9">
        <w:rPr>
          <w:rFonts w:ascii="Wingdings" w:hAnsi="Wingdings" w:cs="Wingdings"/>
          <w:sz w:val="32"/>
          <w:szCs w:val="32"/>
        </w:rPr>
        <w:t></w:t>
      </w:r>
      <w:r w:rsidRPr="00846FA9">
        <w:rPr>
          <w:szCs w:val="24"/>
        </w:rPr>
        <w:tab/>
      </w:r>
      <w:r w:rsidRPr="00846FA9">
        <w:rPr>
          <w:b/>
          <w:bCs/>
          <w:szCs w:val="24"/>
        </w:rPr>
        <w:t xml:space="preserve">Yes - </w:t>
      </w:r>
      <w:r w:rsidRPr="00846FA9">
        <w:rPr>
          <w:szCs w:val="24"/>
        </w:rPr>
        <w:t xml:space="preserve">Please provide details of all </w:t>
      </w:r>
      <w:r w:rsidRPr="00846FA9">
        <w:rPr>
          <w:b/>
          <w:bCs/>
          <w:szCs w:val="24"/>
        </w:rPr>
        <w:t>service and non-service</w:t>
      </w:r>
      <w:r w:rsidRPr="00846FA9">
        <w:rPr>
          <w:szCs w:val="24"/>
        </w:rPr>
        <w:t xml:space="preserve"> exposure </w:t>
      </w:r>
      <w:r>
        <w:rPr>
          <w:szCs w:val="24"/>
        </w:rPr>
        <w:t>i</w:t>
      </w:r>
      <w:r w:rsidRPr="00846FA9">
        <w:rPr>
          <w:szCs w:val="24"/>
        </w:rPr>
        <w:t>n the table</w:t>
      </w:r>
      <w:r>
        <w:rPr>
          <w:szCs w:val="24"/>
        </w:rPr>
        <w:t xml:space="preserve"> overleaf</w:t>
      </w:r>
      <w:r w:rsidRPr="00846FA9">
        <w:rPr>
          <w:szCs w:val="24"/>
        </w:rPr>
        <w:t>, being as specific as possible:</w:t>
      </w:r>
    </w:p>
    <w:p w:rsidR="000B544E" w:rsidRPr="006C37FC" w:rsidRDefault="000B544E" w:rsidP="000B544E">
      <w:pPr>
        <w:spacing w:after="240"/>
        <w:ind w:left="1124" w:hanging="562"/>
        <w:rPr>
          <w:b/>
          <w:szCs w:val="24"/>
        </w:rPr>
      </w:pPr>
      <w:r>
        <w:rPr>
          <w:szCs w:val="24"/>
        </w:rPr>
        <w:br w:type="page"/>
      </w:r>
      <w:r w:rsidRPr="006C37FC">
        <w:rPr>
          <w:b/>
          <w:szCs w:val="24"/>
        </w:rPr>
        <w:lastRenderedPageBreak/>
        <w:t>Inhalation of air containing PAH at a concentration of at least 0.2 mg/m</w:t>
      </w:r>
      <w:r w:rsidRPr="006C37FC">
        <w:rPr>
          <w:b/>
          <w:szCs w:val="24"/>
          <w:vertAlign w:val="superscript"/>
        </w:rPr>
        <w:t>3:</w:t>
      </w:r>
    </w:p>
    <w:tbl>
      <w:tblPr>
        <w:tblW w:w="9072" w:type="dxa"/>
        <w:jc w:val="center"/>
        <w:tblInd w:w="536" w:type="dxa"/>
        <w:tblBorders>
          <w:top w:val="single" w:sz="12" w:space="0" w:color="808080"/>
          <w:left w:val="single" w:sz="12" w:space="0" w:color="C0C0C0"/>
          <w:bottom w:val="single" w:sz="12" w:space="0" w:color="808080"/>
          <w:right w:val="single" w:sz="12" w:space="0" w:color="C0C0C0"/>
          <w:insideH w:val="single" w:sz="6" w:space="0" w:color="C0C0C0"/>
          <w:insideV w:val="single" w:sz="6" w:space="0" w:color="C0C0C0"/>
        </w:tblBorders>
        <w:tblLayout w:type="fixed"/>
        <w:tblCellMar>
          <w:left w:w="110" w:type="dxa"/>
          <w:right w:w="110" w:type="dxa"/>
        </w:tblCellMar>
        <w:tblLook w:val="0000" w:firstRow="0" w:lastRow="0" w:firstColumn="0" w:lastColumn="0" w:noHBand="0" w:noVBand="0"/>
      </w:tblPr>
      <w:tblGrid>
        <w:gridCol w:w="1984"/>
        <w:gridCol w:w="1418"/>
        <w:gridCol w:w="5670"/>
      </w:tblGrid>
      <w:tr w:rsidR="000B544E" w:rsidRPr="00846FA9" w:rsidTr="000B544E">
        <w:tblPrEx>
          <w:tblCellMar>
            <w:top w:w="0" w:type="dxa"/>
            <w:bottom w:w="0" w:type="dxa"/>
          </w:tblCellMar>
        </w:tblPrEx>
        <w:trPr>
          <w:jc w:val="center"/>
        </w:trPr>
        <w:tc>
          <w:tcPr>
            <w:tcW w:w="1984" w:type="dxa"/>
            <w:tcBorders>
              <w:top w:val="single" w:sz="12" w:space="0" w:color="808080"/>
              <w:bottom w:val="single" w:sz="6" w:space="0" w:color="C0C0C0"/>
            </w:tcBorders>
            <w:shd w:val="pct5" w:color="auto" w:fill="auto"/>
          </w:tcPr>
          <w:p w:rsidR="000B544E" w:rsidRPr="00846FA9" w:rsidRDefault="000B544E" w:rsidP="00A1779D">
            <w:pPr>
              <w:keepNext/>
              <w:spacing w:after="120"/>
              <w:jc w:val="center"/>
              <w:rPr>
                <w:b/>
                <w:bCs/>
                <w:szCs w:val="24"/>
              </w:rPr>
            </w:pPr>
            <w:r w:rsidRPr="00846FA9">
              <w:rPr>
                <w:b/>
                <w:bCs/>
                <w:szCs w:val="24"/>
              </w:rPr>
              <w:t>Dates of PAH inhalation</w:t>
            </w:r>
            <w:r>
              <w:rPr>
                <w:b/>
                <w:bCs/>
                <w:szCs w:val="24"/>
              </w:rPr>
              <w:t xml:space="preserve"> </w:t>
            </w:r>
            <w:r w:rsidRPr="00846FA9">
              <w:rPr>
                <w:bCs/>
                <w:sz w:val="20"/>
              </w:rPr>
              <w:t>eg. 01/07/1942 until 24/09/1942</w:t>
            </w:r>
          </w:p>
        </w:tc>
        <w:tc>
          <w:tcPr>
            <w:tcW w:w="1418" w:type="dxa"/>
            <w:tcBorders>
              <w:top w:val="single" w:sz="12" w:space="0" w:color="808080"/>
              <w:bottom w:val="single" w:sz="6" w:space="0" w:color="C0C0C0"/>
            </w:tcBorders>
            <w:shd w:val="pct5" w:color="auto" w:fill="auto"/>
          </w:tcPr>
          <w:p w:rsidR="000B544E" w:rsidRPr="00846FA9" w:rsidRDefault="000B544E" w:rsidP="00A1779D">
            <w:pPr>
              <w:keepNext/>
              <w:spacing w:after="120"/>
              <w:jc w:val="center"/>
              <w:rPr>
                <w:bCs/>
                <w:sz w:val="20"/>
              </w:rPr>
            </w:pPr>
            <w:r w:rsidRPr="00846FA9">
              <w:rPr>
                <w:b/>
                <w:bCs/>
                <w:szCs w:val="24"/>
              </w:rPr>
              <w:t xml:space="preserve">Hours of PAH inhalation </w:t>
            </w:r>
            <w:r w:rsidRPr="00846FA9">
              <w:rPr>
                <w:bCs/>
                <w:sz w:val="20"/>
              </w:rPr>
              <w:t>eg. 2 hours per day, 5 days per week or 10 hours each week</w:t>
            </w:r>
          </w:p>
        </w:tc>
        <w:tc>
          <w:tcPr>
            <w:tcW w:w="5670" w:type="dxa"/>
            <w:tcBorders>
              <w:top w:val="single" w:sz="12" w:space="0" w:color="808080"/>
              <w:bottom w:val="single" w:sz="6" w:space="0" w:color="C0C0C0"/>
            </w:tcBorders>
            <w:shd w:val="pct5" w:color="auto" w:fill="auto"/>
          </w:tcPr>
          <w:p w:rsidR="000B544E" w:rsidRPr="00846FA9" w:rsidRDefault="000B544E" w:rsidP="00A1779D">
            <w:pPr>
              <w:keepNext/>
              <w:spacing w:after="120"/>
              <w:jc w:val="center"/>
              <w:rPr>
                <w:b/>
                <w:bCs/>
                <w:szCs w:val="24"/>
              </w:rPr>
            </w:pPr>
            <w:r w:rsidRPr="00846FA9">
              <w:rPr>
                <w:b/>
                <w:bCs/>
                <w:szCs w:val="24"/>
              </w:rPr>
              <w:t>Description of PAH inhalation (including duties being performed, the source of PAH, how inhalation occurred and the place where inhalation occurred)</w:t>
            </w:r>
          </w:p>
        </w:tc>
      </w:tr>
      <w:tr w:rsidR="000B544E" w:rsidRPr="00846FA9" w:rsidTr="000B544E">
        <w:tblPrEx>
          <w:tblCellMar>
            <w:top w:w="0" w:type="dxa"/>
            <w:bottom w:w="0" w:type="dxa"/>
          </w:tblCellMar>
        </w:tblPrEx>
        <w:trPr>
          <w:jc w:val="center"/>
        </w:trPr>
        <w:tc>
          <w:tcPr>
            <w:tcW w:w="1984" w:type="dxa"/>
            <w:tcBorders>
              <w:top w:val="single" w:sz="6" w:space="0" w:color="C0C0C0"/>
            </w:tcBorders>
          </w:tcPr>
          <w:p w:rsidR="000B544E" w:rsidRPr="00846FA9" w:rsidRDefault="000B544E" w:rsidP="00A1779D">
            <w:pPr>
              <w:tabs>
                <w:tab w:val="center" w:pos="851"/>
                <w:tab w:val="center" w:pos="1560"/>
              </w:tabs>
              <w:spacing w:after="120"/>
              <w:rPr>
                <w:szCs w:val="24"/>
              </w:rPr>
            </w:pPr>
          </w:p>
        </w:tc>
        <w:tc>
          <w:tcPr>
            <w:tcW w:w="1418" w:type="dxa"/>
            <w:tcBorders>
              <w:top w:val="single" w:sz="6" w:space="0" w:color="C0C0C0"/>
            </w:tcBorders>
          </w:tcPr>
          <w:p w:rsidR="000B544E" w:rsidRPr="00846FA9" w:rsidRDefault="000B544E" w:rsidP="00A1779D">
            <w:pPr>
              <w:spacing w:after="120"/>
              <w:rPr>
                <w:szCs w:val="24"/>
              </w:rPr>
            </w:pPr>
          </w:p>
          <w:p w:rsidR="000B544E" w:rsidRPr="00846FA9" w:rsidRDefault="000B544E" w:rsidP="00A1779D">
            <w:pPr>
              <w:spacing w:after="120"/>
              <w:rPr>
                <w:szCs w:val="24"/>
              </w:rPr>
            </w:pPr>
          </w:p>
        </w:tc>
        <w:tc>
          <w:tcPr>
            <w:tcW w:w="5670" w:type="dxa"/>
            <w:tcBorders>
              <w:top w:val="single" w:sz="6" w:space="0" w:color="C0C0C0"/>
            </w:tcBorders>
          </w:tcPr>
          <w:p w:rsidR="000B544E" w:rsidRPr="00846FA9" w:rsidRDefault="000B544E" w:rsidP="00A1779D">
            <w:pPr>
              <w:spacing w:after="120"/>
              <w:rPr>
                <w:szCs w:val="24"/>
              </w:rPr>
            </w:pPr>
          </w:p>
        </w:tc>
      </w:tr>
      <w:tr w:rsidR="000B544E" w:rsidRPr="00846FA9" w:rsidTr="000B544E">
        <w:tblPrEx>
          <w:tblCellMar>
            <w:top w:w="0" w:type="dxa"/>
            <w:bottom w:w="0" w:type="dxa"/>
          </w:tblCellMar>
        </w:tblPrEx>
        <w:trPr>
          <w:jc w:val="center"/>
        </w:trPr>
        <w:tc>
          <w:tcPr>
            <w:tcW w:w="1984" w:type="dxa"/>
          </w:tcPr>
          <w:p w:rsidR="000B544E" w:rsidRPr="00846FA9" w:rsidRDefault="000B544E" w:rsidP="00A1779D">
            <w:pPr>
              <w:tabs>
                <w:tab w:val="center" w:pos="851"/>
                <w:tab w:val="center" w:pos="1560"/>
              </w:tabs>
              <w:spacing w:after="120"/>
              <w:rPr>
                <w:szCs w:val="24"/>
              </w:rPr>
            </w:pPr>
          </w:p>
        </w:tc>
        <w:tc>
          <w:tcPr>
            <w:tcW w:w="1418" w:type="dxa"/>
          </w:tcPr>
          <w:p w:rsidR="000B544E" w:rsidRPr="00846FA9" w:rsidRDefault="000B544E" w:rsidP="00A1779D">
            <w:pPr>
              <w:spacing w:after="120"/>
              <w:rPr>
                <w:szCs w:val="24"/>
              </w:rPr>
            </w:pPr>
          </w:p>
          <w:p w:rsidR="000B544E" w:rsidRPr="00846FA9" w:rsidRDefault="000B544E" w:rsidP="00A1779D">
            <w:pPr>
              <w:spacing w:after="120"/>
              <w:rPr>
                <w:szCs w:val="24"/>
              </w:rPr>
            </w:pPr>
          </w:p>
        </w:tc>
        <w:tc>
          <w:tcPr>
            <w:tcW w:w="5670" w:type="dxa"/>
          </w:tcPr>
          <w:p w:rsidR="000B544E" w:rsidRPr="00846FA9" w:rsidRDefault="000B544E" w:rsidP="00A1779D">
            <w:pPr>
              <w:spacing w:after="120"/>
              <w:rPr>
                <w:szCs w:val="24"/>
              </w:rPr>
            </w:pPr>
          </w:p>
        </w:tc>
      </w:tr>
      <w:tr w:rsidR="000B544E" w:rsidRPr="00846FA9" w:rsidTr="000B544E">
        <w:tblPrEx>
          <w:tblCellMar>
            <w:top w:w="0" w:type="dxa"/>
            <w:bottom w:w="0" w:type="dxa"/>
          </w:tblCellMar>
        </w:tblPrEx>
        <w:trPr>
          <w:jc w:val="center"/>
        </w:trPr>
        <w:tc>
          <w:tcPr>
            <w:tcW w:w="1984" w:type="dxa"/>
          </w:tcPr>
          <w:p w:rsidR="000B544E" w:rsidRPr="00846FA9" w:rsidRDefault="000B544E" w:rsidP="00A1779D">
            <w:pPr>
              <w:tabs>
                <w:tab w:val="center" w:pos="851"/>
                <w:tab w:val="center" w:pos="1560"/>
              </w:tabs>
              <w:spacing w:after="120"/>
              <w:rPr>
                <w:szCs w:val="24"/>
              </w:rPr>
            </w:pPr>
          </w:p>
        </w:tc>
        <w:tc>
          <w:tcPr>
            <w:tcW w:w="1418" w:type="dxa"/>
          </w:tcPr>
          <w:p w:rsidR="000B544E" w:rsidRPr="00846FA9" w:rsidRDefault="000B544E" w:rsidP="00A1779D">
            <w:pPr>
              <w:spacing w:after="120"/>
              <w:rPr>
                <w:szCs w:val="24"/>
              </w:rPr>
            </w:pPr>
          </w:p>
          <w:p w:rsidR="000B544E" w:rsidRPr="00846FA9" w:rsidRDefault="000B544E" w:rsidP="00A1779D">
            <w:pPr>
              <w:spacing w:after="120"/>
              <w:rPr>
                <w:szCs w:val="24"/>
              </w:rPr>
            </w:pPr>
          </w:p>
        </w:tc>
        <w:tc>
          <w:tcPr>
            <w:tcW w:w="5670" w:type="dxa"/>
          </w:tcPr>
          <w:p w:rsidR="000B544E" w:rsidRPr="00846FA9" w:rsidRDefault="000B544E" w:rsidP="00A1779D">
            <w:pPr>
              <w:spacing w:after="120"/>
              <w:rPr>
                <w:szCs w:val="24"/>
              </w:rPr>
            </w:pPr>
          </w:p>
        </w:tc>
      </w:tr>
      <w:tr w:rsidR="000B544E" w:rsidRPr="00846FA9" w:rsidTr="000B544E">
        <w:tblPrEx>
          <w:tblCellMar>
            <w:top w:w="0" w:type="dxa"/>
            <w:bottom w:w="0" w:type="dxa"/>
          </w:tblCellMar>
        </w:tblPrEx>
        <w:trPr>
          <w:jc w:val="center"/>
        </w:trPr>
        <w:tc>
          <w:tcPr>
            <w:tcW w:w="1984" w:type="dxa"/>
          </w:tcPr>
          <w:p w:rsidR="000B544E" w:rsidRPr="00846FA9" w:rsidRDefault="000B544E" w:rsidP="00A1779D">
            <w:pPr>
              <w:tabs>
                <w:tab w:val="center" w:pos="851"/>
                <w:tab w:val="center" w:pos="1560"/>
              </w:tabs>
              <w:spacing w:after="120"/>
              <w:rPr>
                <w:szCs w:val="24"/>
              </w:rPr>
            </w:pPr>
          </w:p>
        </w:tc>
        <w:tc>
          <w:tcPr>
            <w:tcW w:w="1418" w:type="dxa"/>
          </w:tcPr>
          <w:p w:rsidR="000B544E" w:rsidRPr="00846FA9" w:rsidRDefault="000B544E" w:rsidP="00A1779D">
            <w:pPr>
              <w:spacing w:after="120"/>
              <w:rPr>
                <w:szCs w:val="24"/>
              </w:rPr>
            </w:pPr>
          </w:p>
          <w:p w:rsidR="000B544E" w:rsidRPr="00846FA9" w:rsidRDefault="000B544E" w:rsidP="00A1779D">
            <w:pPr>
              <w:spacing w:after="120"/>
              <w:rPr>
                <w:szCs w:val="24"/>
              </w:rPr>
            </w:pPr>
          </w:p>
        </w:tc>
        <w:tc>
          <w:tcPr>
            <w:tcW w:w="5670" w:type="dxa"/>
          </w:tcPr>
          <w:p w:rsidR="000B544E" w:rsidRPr="00846FA9" w:rsidRDefault="000B544E" w:rsidP="00A1779D">
            <w:pPr>
              <w:spacing w:after="120"/>
              <w:rPr>
                <w:szCs w:val="24"/>
              </w:rPr>
            </w:pPr>
          </w:p>
        </w:tc>
      </w:tr>
    </w:tbl>
    <w:p w:rsidR="000B544E" w:rsidRPr="00846FA9" w:rsidRDefault="000B544E" w:rsidP="000B544E">
      <w:pPr>
        <w:spacing w:before="240"/>
        <w:ind w:left="706" w:hanging="706"/>
        <w:rPr>
          <w:b/>
          <w:i/>
          <w:szCs w:val="24"/>
          <w:u w:val="single"/>
        </w:rPr>
      </w:pPr>
      <w:r>
        <w:rPr>
          <w:b/>
          <w:i/>
          <w:szCs w:val="24"/>
          <w:u w:val="single"/>
        </w:rPr>
        <w:t xml:space="preserve">B  </w:t>
      </w:r>
      <w:r w:rsidRPr="00846FA9">
        <w:rPr>
          <w:b/>
          <w:i/>
          <w:szCs w:val="24"/>
          <w:u w:val="single"/>
        </w:rPr>
        <w:t>Exposure to fumes containing polycyclic aromatic hydrocarbons</w:t>
      </w:r>
      <w:r>
        <w:rPr>
          <w:b/>
          <w:i/>
          <w:szCs w:val="24"/>
          <w:u w:val="single"/>
        </w:rPr>
        <w:t xml:space="preserve"> (PAH)</w:t>
      </w:r>
    </w:p>
    <w:p w:rsidR="000B544E" w:rsidRPr="00846FA9" w:rsidRDefault="000B544E" w:rsidP="000B544E">
      <w:pPr>
        <w:spacing w:before="240" w:after="120"/>
        <w:ind w:left="706"/>
        <w:rPr>
          <w:bCs/>
          <w:szCs w:val="24"/>
        </w:rPr>
      </w:pPr>
      <w:r w:rsidRPr="00846FA9">
        <w:rPr>
          <w:bCs/>
          <w:szCs w:val="24"/>
        </w:rPr>
        <w:t>The Repatriation Medical Authority defines "being exposed to fumes containing high concentrations of polycyclic aromatic hydrocarbons</w:t>
      </w:r>
      <w:r>
        <w:rPr>
          <w:bCs/>
          <w:szCs w:val="24"/>
        </w:rPr>
        <w:t>"</w:t>
      </w:r>
      <w:r w:rsidRPr="00846FA9">
        <w:rPr>
          <w:bCs/>
          <w:szCs w:val="24"/>
        </w:rPr>
        <w:t xml:space="preserve"> as:</w:t>
      </w:r>
    </w:p>
    <w:p w:rsidR="000B544E" w:rsidRPr="00846FA9" w:rsidRDefault="000B544E" w:rsidP="000B544E">
      <w:pPr>
        <w:ind w:left="1440" w:hanging="731"/>
        <w:rPr>
          <w:bCs/>
          <w:szCs w:val="24"/>
        </w:rPr>
      </w:pPr>
      <w:r w:rsidRPr="00846FA9">
        <w:rPr>
          <w:bCs/>
          <w:szCs w:val="24"/>
        </w:rPr>
        <w:t>(i)</w:t>
      </w:r>
      <w:r w:rsidRPr="00846FA9">
        <w:rPr>
          <w:bCs/>
          <w:szCs w:val="24"/>
        </w:rPr>
        <w:tab/>
        <w:t>working with creosote;</w:t>
      </w:r>
    </w:p>
    <w:p w:rsidR="000B544E" w:rsidRPr="00846FA9" w:rsidRDefault="000B544E" w:rsidP="000B544E">
      <w:pPr>
        <w:ind w:left="1440" w:hanging="731"/>
        <w:rPr>
          <w:bCs/>
          <w:szCs w:val="24"/>
        </w:rPr>
      </w:pPr>
      <w:r w:rsidRPr="00846FA9">
        <w:rPr>
          <w:bCs/>
          <w:szCs w:val="24"/>
        </w:rPr>
        <w:t>(ii)</w:t>
      </w:r>
      <w:r w:rsidRPr="00846FA9">
        <w:rPr>
          <w:bCs/>
          <w:szCs w:val="24"/>
        </w:rPr>
        <w:tab/>
        <w:t>working with coal-tar pitch, coal-tar or asphalt;</w:t>
      </w:r>
    </w:p>
    <w:p w:rsidR="000B544E" w:rsidRPr="00846FA9" w:rsidRDefault="000B544E" w:rsidP="000B544E">
      <w:pPr>
        <w:ind w:left="1440" w:hanging="731"/>
        <w:rPr>
          <w:bCs/>
          <w:szCs w:val="24"/>
        </w:rPr>
      </w:pPr>
      <w:r w:rsidRPr="00846FA9">
        <w:rPr>
          <w:bCs/>
          <w:szCs w:val="24"/>
        </w:rPr>
        <w:t>(iii)</w:t>
      </w:r>
      <w:r w:rsidRPr="00846FA9">
        <w:rPr>
          <w:bCs/>
          <w:szCs w:val="24"/>
        </w:rPr>
        <w:tab/>
        <w:t>working in the coal gasification, coke production, carbon electrode manufacture or the coal-tar distillation industry;</w:t>
      </w:r>
    </w:p>
    <w:p w:rsidR="000B544E" w:rsidRPr="00846FA9" w:rsidRDefault="000B544E" w:rsidP="000B544E">
      <w:pPr>
        <w:ind w:left="1440" w:hanging="731"/>
        <w:rPr>
          <w:bCs/>
          <w:szCs w:val="24"/>
        </w:rPr>
      </w:pPr>
      <w:r w:rsidRPr="00846FA9">
        <w:rPr>
          <w:bCs/>
          <w:szCs w:val="24"/>
        </w:rPr>
        <w:t>(iv)</w:t>
      </w:r>
      <w:r w:rsidRPr="00846FA9">
        <w:rPr>
          <w:bCs/>
          <w:szCs w:val="24"/>
        </w:rPr>
        <w:tab/>
        <w:t>being exposed to coke oven emissions; or</w:t>
      </w:r>
    </w:p>
    <w:p w:rsidR="000B544E" w:rsidRPr="00846FA9" w:rsidRDefault="000B544E" w:rsidP="000B544E">
      <w:pPr>
        <w:spacing w:after="120"/>
        <w:ind w:left="1440" w:hanging="731"/>
        <w:rPr>
          <w:bCs/>
          <w:szCs w:val="24"/>
        </w:rPr>
      </w:pPr>
      <w:r w:rsidRPr="00846FA9">
        <w:rPr>
          <w:bCs/>
          <w:szCs w:val="24"/>
        </w:rPr>
        <w:t>(v)</w:t>
      </w:r>
      <w:r w:rsidRPr="00846FA9">
        <w:rPr>
          <w:bCs/>
          <w:szCs w:val="24"/>
        </w:rPr>
        <w:tab/>
        <w:t xml:space="preserve">inhaling diesel engine exhaust or combustion products in </w:t>
      </w:r>
      <w:r w:rsidRPr="000B544E">
        <w:rPr>
          <w:b/>
          <w:bCs/>
          <w:szCs w:val="24"/>
        </w:rPr>
        <w:t>an enclosed space</w:t>
      </w:r>
      <w:r w:rsidRPr="00846FA9">
        <w:rPr>
          <w:bCs/>
          <w:szCs w:val="24"/>
        </w:rPr>
        <w:t xml:space="preserve"> – </w:t>
      </w:r>
      <w:r w:rsidRPr="00846FA9">
        <w:rPr>
          <w:b/>
          <w:bCs/>
          <w:szCs w:val="24"/>
        </w:rPr>
        <w:t xml:space="preserve">this 'inhalation' exposure applies to </w:t>
      </w:r>
      <w:r w:rsidRPr="00846FA9">
        <w:rPr>
          <w:b/>
          <w:bCs/>
          <w:snapToGrid w:val="0"/>
          <w:szCs w:val="24"/>
        </w:rPr>
        <w:t xml:space="preserve">reasonable hypothesis </w:t>
      </w:r>
      <w:r w:rsidRPr="00846FA9">
        <w:rPr>
          <w:b/>
          <w:bCs/>
          <w:szCs w:val="24"/>
        </w:rPr>
        <w:t>cases only</w:t>
      </w:r>
      <w:r w:rsidRPr="00846FA9">
        <w:rPr>
          <w:bCs/>
          <w:szCs w:val="24"/>
        </w:rPr>
        <w:t>".</w:t>
      </w:r>
    </w:p>
    <w:p w:rsidR="000B544E" w:rsidRPr="00846FA9" w:rsidRDefault="000B544E" w:rsidP="000B544E">
      <w:pPr>
        <w:spacing w:before="120" w:after="120"/>
        <w:ind w:left="720"/>
        <w:rPr>
          <w:szCs w:val="24"/>
        </w:rPr>
      </w:pPr>
      <w:r w:rsidRPr="000B544E">
        <w:rPr>
          <w:b/>
          <w:bCs/>
          <w:szCs w:val="24"/>
        </w:rPr>
        <w:t>an enclosed space</w:t>
      </w:r>
      <w:r w:rsidRPr="00846FA9">
        <w:rPr>
          <w:b/>
          <w:bCs/>
          <w:szCs w:val="24"/>
        </w:rPr>
        <w:t xml:space="preserve"> </w:t>
      </w:r>
      <w:r w:rsidRPr="00846FA9">
        <w:rPr>
          <w:bCs/>
          <w:szCs w:val="24"/>
        </w:rPr>
        <w:t>is defined as</w:t>
      </w:r>
      <w:r w:rsidRPr="00846FA9">
        <w:rPr>
          <w:b/>
          <w:bCs/>
          <w:szCs w:val="24"/>
        </w:rPr>
        <w:t xml:space="preserve"> </w:t>
      </w:r>
      <w:r w:rsidRPr="00846FA9">
        <w:rPr>
          <w:bCs/>
          <w:szCs w:val="24"/>
        </w:rPr>
        <w:t>"</w:t>
      </w:r>
      <w:r w:rsidRPr="00846FA9">
        <w:rPr>
          <w:szCs w:val="24"/>
        </w:rPr>
        <w:t>a substantially enclosed area, for example the interior of a building, ship or aircraft, a covered workshop, or factory".</w:t>
      </w:r>
    </w:p>
    <w:p w:rsidR="000B544E" w:rsidRPr="00846FA9" w:rsidRDefault="000B544E" w:rsidP="000B544E">
      <w:pPr>
        <w:spacing w:before="240" w:after="120"/>
        <w:ind w:left="706" w:hanging="706"/>
        <w:rPr>
          <w:szCs w:val="24"/>
        </w:rPr>
      </w:pPr>
      <w:r w:rsidRPr="00846FA9">
        <w:rPr>
          <w:szCs w:val="24"/>
        </w:rPr>
        <w:t>2.</w:t>
      </w:r>
      <w:r w:rsidRPr="00846FA9">
        <w:rPr>
          <w:szCs w:val="24"/>
        </w:rPr>
        <w:tab/>
        <w:t xml:space="preserve">Has there been exposure to fumes containing high concentrations of </w:t>
      </w:r>
      <w:r>
        <w:rPr>
          <w:szCs w:val="24"/>
        </w:rPr>
        <w:t>PAH</w:t>
      </w:r>
      <w:r w:rsidRPr="00846FA9">
        <w:rPr>
          <w:szCs w:val="24"/>
        </w:rPr>
        <w:t xml:space="preserve"> </w:t>
      </w:r>
      <w:r>
        <w:rPr>
          <w:szCs w:val="24"/>
        </w:rPr>
        <w:t>for a cumulative period of at least 5000 hours</w:t>
      </w:r>
      <w:r w:rsidRPr="00846FA9">
        <w:rPr>
          <w:szCs w:val="24"/>
        </w:rPr>
        <w:t>?</w:t>
      </w:r>
    </w:p>
    <w:p w:rsidR="000B544E" w:rsidRPr="00846FA9" w:rsidRDefault="000B544E" w:rsidP="000B544E">
      <w:pPr>
        <w:ind w:left="1440" w:hanging="720"/>
        <w:rPr>
          <w:i/>
          <w:iCs/>
          <w:szCs w:val="24"/>
        </w:rPr>
      </w:pPr>
      <w:r w:rsidRPr="00846FA9">
        <w:rPr>
          <w:rFonts w:ascii="Wingdings" w:hAnsi="Wingdings" w:cs="Wingdings"/>
          <w:sz w:val="32"/>
          <w:szCs w:val="32"/>
        </w:rPr>
        <w:t></w:t>
      </w:r>
      <w:r w:rsidRPr="00846FA9">
        <w:rPr>
          <w:rFonts w:ascii="Wingdings" w:hAnsi="Wingdings" w:cs="Wingdings"/>
          <w:sz w:val="32"/>
          <w:szCs w:val="32"/>
        </w:rPr>
        <w:tab/>
      </w:r>
      <w:r w:rsidRPr="00846FA9">
        <w:rPr>
          <w:b/>
          <w:bCs/>
          <w:szCs w:val="24"/>
        </w:rPr>
        <w:t xml:space="preserve">No - </w:t>
      </w:r>
      <w:r w:rsidRPr="00846FA9">
        <w:rPr>
          <w:i/>
          <w:iCs/>
          <w:szCs w:val="24"/>
        </w:rPr>
        <w:t>Please sign the form and return it to the Department</w:t>
      </w:r>
    </w:p>
    <w:p w:rsidR="000B544E" w:rsidRDefault="000B544E" w:rsidP="000B544E">
      <w:pPr>
        <w:spacing w:after="120"/>
        <w:ind w:left="1440" w:hanging="720"/>
        <w:rPr>
          <w:szCs w:val="24"/>
        </w:rPr>
      </w:pPr>
      <w:r w:rsidRPr="00846FA9">
        <w:rPr>
          <w:rFonts w:ascii="Wingdings" w:hAnsi="Wingdings" w:cs="Wingdings"/>
          <w:sz w:val="32"/>
          <w:szCs w:val="32"/>
        </w:rPr>
        <w:t></w:t>
      </w:r>
      <w:r w:rsidRPr="00846FA9">
        <w:rPr>
          <w:szCs w:val="24"/>
        </w:rPr>
        <w:tab/>
      </w:r>
      <w:r w:rsidRPr="00846FA9">
        <w:rPr>
          <w:b/>
          <w:bCs/>
          <w:szCs w:val="24"/>
        </w:rPr>
        <w:t xml:space="preserve">Yes - </w:t>
      </w:r>
      <w:r w:rsidRPr="00846FA9">
        <w:rPr>
          <w:szCs w:val="24"/>
        </w:rPr>
        <w:t xml:space="preserve">Please provide details of all </w:t>
      </w:r>
      <w:r w:rsidRPr="00846FA9">
        <w:rPr>
          <w:b/>
          <w:bCs/>
          <w:szCs w:val="24"/>
        </w:rPr>
        <w:t>service and non-service</w:t>
      </w:r>
      <w:r w:rsidRPr="00846FA9">
        <w:rPr>
          <w:szCs w:val="24"/>
        </w:rPr>
        <w:t xml:space="preserve"> exposure </w:t>
      </w:r>
      <w:r>
        <w:rPr>
          <w:szCs w:val="24"/>
        </w:rPr>
        <w:t>i</w:t>
      </w:r>
      <w:r w:rsidRPr="00846FA9">
        <w:rPr>
          <w:szCs w:val="24"/>
        </w:rPr>
        <w:t>n the table</w:t>
      </w:r>
      <w:r>
        <w:rPr>
          <w:szCs w:val="24"/>
        </w:rPr>
        <w:t xml:space="preserve"> overleaf</w:t>
      </w:r>
      <w:r w:rsidRPr="00846FA9">
        <w:rPr>
          <w:szCs w:val="24"/>
        </w:rPr>
        <w:t>, being as specific as possible:</w:t>
      </w:r>
    </w:p>
    <w:p w:rsidR="000B544E" w:rsidRDefault="000B544E" w:rsidP="000B544E">
      <w:pPr>
        <w:spacing w:after="120"/>
        <w:ind w:left="1440" w:hanging="720"/>
        <w:rPr>
          <w:szCs w:val="24"/>
        </w:rPr>
      </w:pPr>
      <w:r>
        <w:rPr>
          <w:szCs w:val="24"/>
        </w:rPr>
        <w:br w:type="page"/>
      </w:r>
    </w:p>
    <w:tbl>
      <w:tblPr>
        <w:tblW w:w="8789" w:type="dxa"/>
        <w:jc w:val="center"/>
        <w:tblBorders>
          <w:top w:val="single" w:sz="12" w:space="0" w:color="808080"/>
          <w:left w:val="single" w:sz="12" w:space="0" w:color="C0C0C0"/>
          <w:bottom w:val="single" w:sz="12" w:space="0" w:color="808080"/>
          <w:right w:val="single" w:sz="12" w:space="0" w:color="C0C0C0"/>
          <w:insideH w:val="single" w:sz="6" w:space="0" w:color="C0C0C0"/>
          <w:insideV w:val="single" w:sz="6" w:space="0" w:color="C0C0C0"/>
        </w:tblBorders>
        <w:tblLayout w:type="fixed"/>
        <w:tblCellMar>
          <w:left w:w="110" w:type="dxa"/>
          <w:right w:w="110" w:type="dxa"/>
        </w:tblCellMar>
        <w:tblLook w:val="0000" w:firstRow="0" w:lastRow="0" w:firstColumn="0" w:lastColumn="0" w:noHBand="0" w:noVBand="0"/>
      </w:tblPr>
      <w:tblGrid>
        <w:gridCol w:w="1701"/>
        <w:gridCol w:w="1418"/>
        <w:gridCol w:w="5670"/>
      </w:tblGrid>
      <w:tr w:rsidR="000B544E" w:rsidRPr="00846FA9" w:rsidTr="000B544E">
        <w:tblPrEx>
          <w:tblCellMar>
            <w:top w:w="0" w:type="dxa"/>
            <w:bottom w:w="0" w:type="dxa"/>
          </w:tblCellMar>
        </w:tblPrEx>
        <w:trPr>
          <w:jc w:val="center"/>
        </w:trPr>
        <w:tc>
          <w:tcPr>
            <w:tcW w:w="1701" w:type="dxa"/>
            <w:tcBorders>
              <w:top w:val="single" w:sz="12" w:space="0" w:color="808080"/>
              <w:bottom w:val="single" w:sz="6" w:space="0" w:color="C0C0C0"/>
            </w:tcBorders>
            <w:shd w:val="pct5" w:color="auto" w:fill="auto"/>
          </w:tcPr>
          <w:p w:rsidR="000B544E" w:rsidRPr="00846FA9" w:rsidRDefault="000B544E" w:rsidP="00A1779D">
            <w:pPr>
              <w:keepNext/>
              <w:spacing w:after="120"/>
              <w:jc w:val="center"/>
              <w:rPr>
                <w:b/>
                <w:bCs/>
                <w:szCs w:val="24"/>
              </w:rPr>
            </w:pPr>
            <w:r>
              <w:rPr>
                <w:szCs w:val="24"/>
              </w:rPr>
              <w:br w:type="page"/>
            </w:r>
            <w:r>
              <w:rPr>
                <w:szCs w:val="24"/>
              </w:rPr>
              <w:br w:type="page"/>
            </w:r>
            <w:r>
              <w:rPr>
                <w:szCs w:val="24"/>
              </w:rPr>
              <w:br w:type="page"/>
            </w:r>
            <w:r w:rsidRPr="00846FA9">
              <w:rPr>
                <w:b/>
                <w:bCs/>
                <w:szCs w:val="24"/>
              </w:rPr>
              <w:t xml:space="preserve">Dates of PAH exposure </w:t>
            </w:r>
            <w:r w:rsidRPr="00846FA9">
              <w:rPr>
                <w:bCs/>
                <w:sz w:val="20"/>
              </w:rPr>
              <w:t>eg. 01/07/1942 until 24/09/1942</w:t>
            </w:r>
          </w:p>
        </w:tc>
        <w:tc>
          <w:tcPr>
            <w:tcW w:w="1418" w:type="dxa"/>
            <w:tcBorders>
              <w:top w:val="single" w:sz="12" w:space="0" w:color="808080"/>
              <w:bottom w:val="single" w:sz="6" w:space="0" w:color="C0C0C0"/>
            </w:tcBorders>
            <w:shd w:val="pct5" w:color="auto" w:fill="auto"/>
          </w:tcPr>
          <w:p w:rsidR="000B544E" w:rsidRPr="00846FA9" w:rsidRDefault="000B544E" w:rsidP="00A1779D">
            <w:pPr>
              <w:keepNext/>
              <w:spacing w:after="120"/>
              <w:jc w:val="center"/>
              <w:rPr>
                <w:bCs/>
                <w:sz w:val="20"/>
              </w:rPr>
            </w:pPr>
            <w:r w:rsidRPr="00846FA9">
              <w:rPr>
                <w:b/>
                <w:bCs/>
                <w:szCs w:val="24"/>
              </w:rPr>
              <w:t xml:space="preserve">Hours of PAH exposure </w:t>
            </w:r>
            <w:r w:rsidRPr="00846FA9">
              <w:rPr>
                <w:bCs/>
                <w:sz w:val="20"/>
              </w:rPr>
              <w:t>eg. 2 hours per day, 5 days per week or 10 hours each week</w:t>
            </w:r>
          </w:p>
        </w:tc>
        <w:tc>
          <w:tcPr>
            <w:tcW w:w="5670" w:type="dxa"/>
            <w:tcBorders>
              <w:top w:val="single" w:sz="12" w:space="0" w:color="808080"/>
              <w:bottom w:val="single" w:sz="6" w:space="0" w:color="C0C0C0"/>
            </w:tcBorders>
            <w:shd w:val="pct5" w:color="auto" w:fill="auto"/>
          </w:tcPr>
          <w:p w:rsidR="000B544E" w:rsidRPr="00846FA9" w:rsidRDefault="000B544E" w:rsidP="00A1779D">
            <w:pPr>
              <w:keepNext/>
              <w:spacing w:after="120"/>
              <w:jc w:val="center"/>
              <w:rPr>
                <w:b/>
                <w:bCs/>
                <w:szCs w:val="24"/>
              </w:rPr>
            </w:pPr>
            <w:r w:rsidRPr="00846FA9">
              <w:rPr>
                <w:b/>
                <w:bCs/>
                <w:szCs w:val="24"/>
              </w:rPr>
              <w:t>Description of PAH exposure, please include duties being performed, the source of PAH, how exposure occurred and the place where exposure occurred</w:t>
            </w:r>
          </w:p>
        </w:tc>
      </w:tr>
      <w:tr w:rsidR="000B544E" w:rsidRPr="00846FA9" w:rsidTr="000B544E">
        <w:tblPrEx>
          <w:tblCellMar>
            <w:top w:w="0" w:type="dxa"/>
            <w:bottom w:w="0" w:type="dxa"/>
          </w:tblCellMar>
        </w:tblPrEx>
        <w:trPr>
          <w:trHeight w:val="864"/>
          <w:jc w:val="center"/>
        </w:trPr>
        <w:tc>
          <w:tcPr>
            <w:tcW w:w="1701" w:type="dxa"/>
            <w:tcBorders>
              <w:top w:val="single" w:sz="6" w:space="0" w:color="C0C0C0"/>
            </w:tcBorders>
          </w:tcPr>
          <w:p w:rsidR="000B544E" w:rsidRPr="00846FA9" w:rsidRDefault="000B544E" w:rsidP="00A1779D">
            <w:pPr>
              <w:tabs>
                <w:tab w:val="center" w:pos="851"/>
                <w:tab w:val="center" w:pos="1560"/>
              </w:tabs>
              <w:spacing w:after="120"/>
              <w:rPr>
                <w:szCs w:val="24"/>
              </w:rPr>
            </w:pPr>
          </w:p>
        </w:tc>
        <w:tc>
          <w:tcPr>
            <w:tcW w:w="1418" w:type="dxa"/>
            <w:tcBorders>
              <w:top w:val="single" w:sz="6" w:space="0" w:color="C0C0C0"/>
            </w:tcBorders>
          </w:tcPr>
          <w:p w:rsidR="000B544E" w:rsidRPr="00846FA9" w:rsidRDefault="000B544E" w:rsidP="00A1779D">
            <w:pPr>
              <w:spacing w:after="120"/>
              <w:rPr>
                <w:szCs w:val="24"/>
              </w:rPr>
            </w:pPr>
          </w:p>
        </w:tc>
        <w:tc>
          <w:tcPr>
            <w:tcW w:w="5670" w:type="dxa"/>
            <w:tcBorders>
              <w:top w:val="single" w:sz="6" w:space="0" w:color="C0C0C0"/>
            </w:tcBorders>
          </w:tcPr>
          <w:p w:rsidR="000B544E" w:rsidRPr="00846FA9" w:rsidRDefault="000B544E" w:rsidP="00A1779D">
            <w:pPr>
              <w:spacing w:after="120"/>
              <w:rPr>
                <w:szCs w:val="24"/>
              </w:rPr>
            </w:pPr>
          </w:p>
        </w:tc>
      </w:tr>
      <w:tr w:rsidR="000B544E" w:rsidRPr="00846FA9" w:rsidTr="000B544E">
        <w:tblPrEx>
          <w:tblCellMar>
            <w:top w:w="0" w:type="dxa"/>
            <w:bottom w:w="0" w:type="dxa"/>
          </w:tblCellMar>
        </w:tblPrEx>
        <w:trPr>
          <w:trHeight w:val="864"/>
          <w:jc w:val="center"/>
        </w:trPr>
        <w:tc>
          <w:tcPr>
            <w:tcW w:w="1701" w:type="dxa"/>
          </w:tcPr>
          <w:p w:rsidR="000B544E" w:rsidRPr="00846FA9" w:rsidRDefault="000B544E" w:rsidP="00A1779D">
            <w:pPr>
              <w:tabs>
                <w:tab w:val="center" w:pos="851"/>
                <w:tab w:val="center" w:pos="1560"/>
              </w:tabs>
              <w:spacing w:after="120"/>
              <w:rPr>
                <w:szCs w:val="24"/>
              </w:rPr>
            </w:pPr>
          </w:p>
        </w:tc>
        <w:tc>
          <w:tcPr>
            <w:tcW w:w="1418" w:type="dxa"/>
          </w:tcPr>
          <w:p w:rsidR="000B544E" w:rsidRPr="00846FA9" w:rsidRDefault="000B544E" w:rsidP="00A1779D">
            <w:pPr>
              <w:spacing w:after="120"/>
              <w:rPr>
                <w:szCs w:val="24"/>
              </w:rPr>
            </w:pPr>
          </w:p>
        </w:tc>
        <w:tc>
          <w:tcPr>
            <w:tcW w:w="5670" w:type="dxa"/>
          </w:tcPr>
          <w:p w:rsidR="000B544E" w:rsidRPr="00846FA9" w:rsidRDefault="000B544E" w:rsidP="00A1779D">
            <w:pPr>
              <w:spacing w:after="120"/>
              <w:rPr>
                <w:szCs w:val="24"/>
              </w:rPr>
            </w:pPr>
          </w:p>
        </w:tc>
      </w:tr>
      <w:tr w:rsidR="000B544E" w:rsidRPr="00846FA9" w:rsidTr="000B544E">
        <w:tblPrEx>
          <w:tblCellMar>
            <w:top w:w="0" w:type="dxa"/>
            <w:bottom w:w="0" w:type="dxa"/>
          </w:tblCellMar>
        </w:tblPrEx>
        <w:trPr>
          <w:trHeight w:val="864"/>
          <w:jc w:val="center"/>
        </w:trPr>
        <w:tc>
          <w:tcPr>
            <w:tcW w:w="1701" w:type="dxa"/>
          </w:tcPr>
          <w:p w:rsidR="000B544E" w:rsidRPr="00846FA9" w:rsidRDefault="000B544E" w:rsidP="00A1779D">
            <w:pPr>
              <w:tabs>
                <w:tab w:val="center" w:pos="851"/>
                <w:tab w:val="center" w:pos="1560"/>
              </w:tabs>
              <w:spacing w:after="120"/>
              <w:rPr>
                <w:szCs w:val="24"/>
              </w:rPr>
            </w:pPr>
          </w:p>
        </w:tc>
        <w:tc>
          <w:tcPr>
            <w:tcW w:w="1418" w:type="dxa"/>
          </w:tcPr>
          <w:p w:rsidR="000B544E" w:rsidRPr="00846FA9" w:rsidRDefault="000B544E" w:rsidP="00A1779D">
            <w:pPr>
              <w:spacing w:after="120"/>
              <w:rPr>
                <w:szCs w:val="24"/>
              </w:rPr>
            </w:pPr>
          </w:p>
        </w:tc>
        <w:tc>
          <w:tcPr>
            <w:tcW w:w="5670" w:type="dxa"/>
          </w:tcPr>
          <w:p w:rsidR="000B544E" w:rsidRPr="00846FA9" w:rsidRDefault="000B544E" w:rsidP="00A1779D">
            <w:pPr>
              <w:spacing w:after="120"/>
              <w:rPr>
                <w:szCs w:val="24"/>
              </w:rPr>
            </w:pPr>
          </w:p>
        </w:tc>
      </w:tr>
      <w:tr w:rsidR="000B544E" w:rsidRPr="00846FA9" w:rsidTr="000B544E">
        <w:tblPrEx>
          <w:tblCellMar>
            <w:top w:w="0" w:type="dxa"/>
            <w:bottom w:w="0" w:type="dxa"/>
          </w:tblCellMar>
        </w:tblPrEx>
        <w:trPr>
          <w:trHeight w:val="864"/>
          <w:jc w:val="center"/>
        </w:trPr>
        <w:tc>
          <w:tcPr>
            <w:tcW w:w="1701" w:type="dxa"/>
          </w:tcPr>
          <w:p w:rsidR="000B544E" w:rsidRPr="00846FA9" w:rsidRDefault="000B544E" w:rsidP="00A1779D">
            <w:pPr>
              <w:tabs>
                <w:tab w:val="center" w:pos="851"/>
                <w:tab w:val="center" w:pos="1560"/>
              </w:tabs>
              <w:spacing w:after="120"/>
              <w:rPr>
                <w:szCs w:val="24"/>
              </w:rPr>
            </w:pPr>
          </w:p>
        </w:tc>
        <w:tc>
          <w:tcPr>
            <w:tcW w:w="1418" w:type="dxa"/>
          </w:tcPr>
          <w:p w:rsidR="000B544E" w:rsidRPr="00846FA9" w:rsidRDefault="000B544E" w:rsidP="00A1779D">
            <w:pPr>
              <w:spacing w:after="120"/>
              <w:rPr>
                <w:szCs w:val="24"/>
              </w:rPr>
            </w:pPr>
          </w:p>
        </w:tc>
        <w:tc>
          <w:tcPr>
            <w:tcW w:w="5670" w:type="dxa"/>
          </w:tcPr>
          <w:p w:rsidR="000B544E" w:rsidRPr="00846FA9" w:rsidRDefault="000B544E" w:rsidP="00A1779D">
            <w:pPr>
              <w:spacing w:after="120"/>
              <w:rPr>
                <w:szCs w:val="24"/>
              </w:rPr>
            </w:pPr>
          </w:p>
        </w:tc>
      </w:tr>
      <w:tr w:rsidR="000B544E" w:rsidRPr="00846FA9" w:rsidTr="000B544E">
        <w:tblPrEx>
          <w:tblCellMar>
            <w:top w:w="0" w:type="dxa"/>
            <w:bottom w:w="0" w:type="dxa"/>
          </w:tblCellMar>
        </w:tblPrEx>
        <w:trPr>
          <w:trHeight w:val="864"/>
          <w:jc w:val="center"/>
        </w:trPr>
        <w:tc>
          <w:tcPr>
            <w:tcW w:w="1701" w:type="dxa"/>
          </w:tcPr>
          <w:p w:rsidR="000B544E" w:rsidRPr="00846FA9" w:rsidRDefault="000B544E" w:rsidP="00A1779D">
            <w:pPr>
              <w:tabs>
                <w:tab w:val="center" w:pos="851"/>
                <w:tab w:val="center" w:pos="1560"/>
              </w:tabs>
              <w:spacing w:after="120"/>
              <w:rPr>
                <w:szCs w:val="24"/>
              </w:rPr>
            </w:pPr>
          </w:p>
        </w:tc>
        <w:tc>
          <w:tcPr>
            <w:tcW w:w="1418" w:type="dxa"/>
          </w:tcPr>
          <w:p w:rsidR="000B544E" w:rsidRPr="00846FA9" w:rsidRDefault="000B544E" w:rsidP="00A1779D">
            <w:pPr>
              <w:spacing w:after="120"/>
              <w:rPr>
                <w:szCs w:val="24"/>
              </w:rPr>
            </w:pPr>
          </w:p>
        </w:tc>
        <w:tc>
          <w:tcPr>
            <w:tcW w:w="5670" w:type="dxa"/>
          </w:tcPr>
          <w:p w:rsidR="000B544E" w:rsidRPr="00846FA9" w:rsidRDefault="000B544E" w:rsidP="00A1779D">
            <w:pPr>
              <w:spacing w:after="120"/>
              <w:rPr>
                <w:szCs w:val="24"/>
              </w:rPr>
            </w:pPr>
          </w:p>
        </w:tc>
      </w:tr>
    </w:tbl>
    <w:p w:rsidR="0071215D" w:rsidRDefault="0071215D"/>
    <w:p w:rsidR="0071215D" w:rsidRDefault="0071215D">
      <w:pPr>
        <w:pStyle w:val="ReportSection"/>
        <w:framePr w:hSpace="181" w:wrap="notBeside" w:hAnchor="margin" w:yAlign="bottom"/>
      </w:pPr>
      <w:r>
        <w:t>Claimant's Signature</w:t>
      </w:r>
    </w:p>
    <w:p w:rsidR="0071215D" w:rsidRDefault="0071215D">
      <w:pPr>
        <w:framePr w:hSpace="181" w:wrap="notBeside" w:hAnchor="margin" w:yAlign="bottom"/>
        <w:rPr>
          <w:b/>
          <w:i/>
        </w:rPr>
      </w:pPr>
      <w:r>
        <w:rPr>
          <w:b/>
          <w:i/>
        </w:rPr>
        <w:t>You are reminded that:</w:t>
      </w:r>
    </w:p>
    <w:p w:rsidR="0071215D" w:rsidRDefault="0071215D" w:rsidP="0071215D">
      <w:pPr>
        <w:framePr w:hSpace="181" w:wrap="notBeside" w:hAnchor="margin" w:yAlign="bottom"/>
        <w:numPr>
          <w:ilvl w:val="0"/>
          <w:numId w:val="1"/>
        </w:numPr>
      </w:pPr>
      <w:r>
        <w:t>The Declaration you signed on the claim form also covers the information you supply on this form.</w:t>
      </w:r>
    </w:p>
    <w:p w:rsidR="0071215D" w:rsidRDefault="0071215D" w:rsidP="0071215D">
      <w:pPr>
        <w:framePr w:hSpace="181" w:wrap="notBeside" w:hAnchor="margin" w:yAlign="bottom"/>
        <w:numPr>
          <w:ilvl w:val="0"/>
          <w:numId w:val="1"/>
        </w:numPr>
        <w:spacing w:after="120"/>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71215D">
        <w:tblPrEx>
          <w:tblCellMar>
            <w:top w:w="0" w:type="dxa"/>
            <w:bottom w:w="0" w:type="dxa"/>
          </w:tblCellMar>
        </w:tblPrEx>
        <w:trPr>
          <w:cantSplit/>
        </w:trPr>
        <w:tc>
          <w:tcPr>
            <w:tcW w:w="6288" w:type="dxa"/>
            <w:tcBorders>
              <w:top w:val="single" w:sz="6" w:space="0" w:color="auto"/>
              <w:left w:val="single" w:sz="6" w:space="0" w:color="auto"/>
              <w:bottom w:val="nil"/>
              <w:right w:val="single" w:sz="12" w:space="0" w:color="auto"/>
            </w:tcBorders>
          </w:tcPr>
          <w:p w:rsidR="0071215D" w:rsidRDefault="0071215D">
            <w:pPr>
              <w:framePr w:hSpace="181" w:wrap="notBeside" w:hAnchor="margin" w:yAlign="bottom"/>
            </w:pPr>
          </w:p>
        </w:tc>
      </w:tr>
      <w:tr w:rsidR="0071215D">
        <w:tblPrEx>
          <w:tblCellMar>
            <w:top w:w="0" w:type="dxa"/>
            <w:bottom w:w="0" w:type="dxa"/>
          </w:tblCellMar>
        </w:tblPrEx>
        <w:trPr>
          <w:cantSplit/>
        </w:trPr>
        <w:tc>
          <w:tcPr>
            <w:tcW w:w="6288" w:type="dxa"/>
            <w:tcBorders>
              <w:top w:val="nil"/>
              <w:left w:val="single" w:sz="6" w:space="0" w:color="auto"/>
              <w:bottom w:val="single" w:sz="12" w:space="0" w:color="auto"/>
              <w:right w:val="single" w:sz="12" w:space="0" w:color="auto"/>
            </w:tcBorders>
          </w:tcPr>
          <w:p w:rsidR="0071215D" w:rsidRDefault="0071215D">
            <w:pPr>
              <w:framePr w:hSpace="181" w:wrap="notBeside" w:hAnchor="margin" w:yAlign="bottom"/>
              <w:tabs>
                <w:tab w:val="left" w:pos="5103"/>
                <w:tab w:val="left" w:pos="5671"/>
              </w:tabs>
              <w:rPr>
                <w:b/>
              </w:rPr>
            </w:pPr>
            <w:r>
              <w:rPr>
                <w:b/>
              </w:rPr>
              <w:tab/>
              <w:t>/</w:t>
            </w:r>
            <w:r>
              <w:rPr>
                <w:b/>
              </w:rPr>
              <w:tab/>
              <w:t>/</w:t>
            </w:r>
          </w:p>
        </w:tc>
      </w:tr>
      <w:bookmarkEnd w:id="11"/>
    </w:tbl>
    <w:p w:rsidR="0071215D" w:rsidRDefault="0071215D">
      <w:pPr>
        <w:rPr>
          <w:sz w:val="16"/>
        </w:rPr>
      </w:pPr>
    </w:p>
    <w:sectPr w:rsidR="0071215D">
      <w:headerReference w:type="default" r:id="rId8"/>
      <w:footerReference w:type="default" r:id="rId9"/>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6A" w:rsidRDefault="00AF256A">
      <w:r>
        <w:separator/>
      </w:r>
    </w:p>
  </w:endnote>
  <w:endnote w:type="continuationSeparator" w:id="0">
    <w:p w:rsidR="00AF256A" w:rsidRDefault="00AF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FFC423FC-0173-42B0-B3B9-94A5C3EC4433}"/>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5D" w:rsidRDefault="0071215D">
    <w:pPr>
      <w:pStyle w:val="ReportFooter"/>
    </w:pPr>
    <w:r>
      <w:fldChar w:fldCharType="begin"/>
    </w:r>
    <w:r>
      <w:instrText xml:space="preserve"> keywords </w:instrText>
    </w:r>
    <w:r>
      <w:fldChar w:fldCharType="end"/>
    </w:r>
    <w:r>
      <w:tab/>
      <w:t>CSCB029CR9170 13/11/2000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6A" w:rsidRDefault="00AF256A">
      <w:r>
        <w:separator/>
      </w:r>
    </w:p>
  </w:footnote>
  <w:footnote w:type="continuationSeparator" w:id="0">
    <w:p w:rsidR="00AF256A" w:rsidRDefault="00AF2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5D" w:rsidRDefault="0071215D">
    <w:pPr>
      <w:pStyle w:val="Header"/>
    </w:pPr>
    <w:r>
      <w:tab/>
      <w:t>Folio:</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D0E810"/>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15D"/>
    <w:rsid w:val="00033851"/>
    <w:rsid w:val="000B544E"/>
    <w:rsid w:val="005D6FEE"/>
    <w:rsid w:val="0071215D"/>
    <w:rsid w:val="007C2445"/>
    <w:rsid w:val="00A1779D"/>
    <w:rsid w:val="00AF256A"/>
    <w:rsid w:val="00DF1F6E"/>
    <w:rsid w:val="00F25E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0</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malignant neoplasm of the bladder - exposure to polycyclic aromatic hydrocarbons</vt:lpstr>
    </vt:vector>
  </TitlesOfParts>
  <Company>SoftLaw Corporation</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malignant neoplasm of the bladder - exposure to polycyclic aromatic hydrocarbons</dc:title>
  <dc:subject>Questionnaires</dc:subject>
  <dc:creator>SoftLaw Corporation</dc:creator>
  <cp:lastModifiedBy>Cgrewh</cp:lastModifiedBy>
  <cp:revision>2</cp:revision>
  <cp:lastPrinted>1993-07-29T08:23:00Z</cp:lastPrinted>
  <dcterms:created xsi:type="dcterms:W3CDTF">2015-06-17T01:41:00Z</dcterms:created>
  <dcterms:modified xsi:type="dcterms:W3CDTF">2015-06-17T01:41:00Z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malignant neoplasm of the bladder</vt:lpwstr>
  </property>
  <property fmtid="{D5CDD505-2E9C-101B-9397-08002B2CF9AE}" pid="3" name="Contention">
    <vt:lpwstr>exposure to polycyclic aromatic hydrocarbons</vt:lpwstr>
  </property>
  <property fmtid="{D5CDD505-2E9C-101B-9397-08002B2CF9AE}" pid="4" name="ReportType">
    <vt:lpwstr>Claimant</vt:lpwstr>
  </property>
  <property fmtid="{D5CDD505-2E9C-101B-9397-08002B2CF9AE}" pid="5" name="LastModified">
    <vt:lpwstr>13/11/2000</vt:lpwstr>
  </property>
  <property fmtid="{D5CDD505-2E9C-101B-9397-08002B2CF9AE}" pid="6" name="DocumentID">
    <vt:lpwstr>CSCB029CR9170 13/11/2000</vt:lpwstr>
  </property>
  <property fmtid="{D5CDD505-2E9C-101B-9397-08002B2CF9AE}" pid="7" name="ReportNumber">
    <vt:lpwstr>9170</vt:lpwstr>
  </property>
  <property fmtid="{D5CDD505-2E9C-101B-9397-08002B2CF9AE}" pid="8" name="SOP">
    <vt:lpwstr>B029</vt:lpwstr>
  </property>
  <property fmtid="{D5CDD505-2E9C-101B-9397-08002B2CF9AE}" pid="9" name="DocumentName">
    <vt:lpwstr>CR9170</vt:lpwstr>
  </property>
</Properties>
</file>