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9" w:rsidRDefault="00AC2E59">
      <w:pPr>
        <w:framePr w:hSpace="181" w:wrap="notBeside" w:vAnchor="page" w:hAnchor="margin" w:x="1" w:y="743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C2E59" w:rsidRDefault="00AC2E59">
      <w:pPr>
        <w:pStyle w:val="ReportTitle"/>
      </w:pPr>
      <w:bookmarkStart w:id="0" w:name="ReportType"/>
      <w:bookmarkStart w:id="1" w:name="DVAHead"/>
      <w:r>
        <w:t>Claimant</w:t>
      </w:r>
      <w:bookmarkEnd w:id="0"/>
      <w:r>
        <w:t xml:space="preserve"> Report - Exposure of Skin to Mustard Gas</w:t>
      </w:r>
    </w:p>
    <w:p w:rsidR="00AC2E59" w:rsidRDefault="00AC2E59">
      <w:pPr>
        <w:pStyle w:val="ReportPrivacy"/>
      </w:pPr>
      <w:bookmarkStart w:id="2" w:name="Disclaimer"/>
      <w:bookmarkEnd w:id="1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8F102F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AC2E59" w:rsidRDefault="00AC2E59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C2E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59" w:rsidRDefault="00AC2E5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59" w:rsidRDefault="00AC2E5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59" w:rsidRDefault="00AC2E59">
            <w:pPr>
              <w:pStyle w:val="ReportVeteran"/>
            </w:pPr>
          </w:p>
        </w:tc>
      </w:tr>
    </w:tbl>
    <w:p w:rsidR="00AC2E59" w:rsidRDefault="00AC2E59">
      <w:pPr>
        <w:pStyle w:val="ReportSection"/>
      </w:pPr>
      <w:r>
        <w:t>Report Detail</w:t>
      </w:r>
    </w:p>
    <w:p w:rsidR="00AC2E59" w:rsidRDefault="00AC2E59">
      <w:pPr>
        <w:pStyle w:val="ReportQuestion"/>
      </w:pPr>
      <w:bookmarkStart w:id="3" w:name="SignatureBlock"/>
      <w:r>
        <w:t>1.</w:t>
      </w:r>
      <w:r>
        <w:tab/>
        <w:t xml:space="preserve">Is there a history of exposure to mustard gas? </w:t>
      </w:r>
    </w:p>
    <w:p w:rsidR="00AC2E59" w:rsidRDefault="00AC2E59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C2E59" w:rsidRDefault="00AC2E59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give details of all periods of such exposure:</w:t>
      </w:r>
    </w:p>
    <w:p w:rsidR="00AC2E59" w:rsidRDefault="00AC2E59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3"/>
        <w:gridCol w:w="2384"/>
        <w:gridCol w:w="2911"/>
        <w:gridCol w:w="3225"/>
      </w:tblGrid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C2E59" w:rsidRDefault="00AC2E5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C2E59" w:rsidRDefault="00AC2E5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9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C2E59" w:rsidRDefault="00AC2E59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C2E59" w:rsidRDefault="00AC2E59">
            <w:pPr>
              <w:jc w:val="center"/>
              <w:rPr>
                <w:b/>
              </w:rPr>
            </w:pPr>
            <w:r>
              <w:rPr>
                <w:b/>
              </w:rPr>
              <w:t>Parts of the body that came in contact with mustard gas</w:t>
            </w: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r>
              <w:t>/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bookmarkStart w:id="4" w:name="_GoBack"/>
            <w:bookmarkEnd w:id="4"/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r>
              <w:t>/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r>
              <w:t>/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r>
              <w:t>/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  <w:r>
              <w:t>/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2E59" w:rsidRDefault="00AC2E59">
            <w:pPr>
              <w:jc w:val="center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E59" w:rsidRDefault="00AC2E59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E59" w:rsidRDefault="00AC2E59">
            <w:pPr>
              <w:jc w:val="center"/>
            </w:pPr>
          </w:p>
        </w:tc>
      </w:tr>
    </w:tbl>
    <w:p w:rsidR="00AC2E59" w:rsidRDefault="00AC2E59"/>
    <w:p w:rsidR="00AC2E59" w:rsidRDefault="00AC2E59">
      <w:pPr>
        <w:pStyle w:val="ReportSection"/>
        <w:framePr w:hSpace="181" w:wrap="notBeside" w:hAnchor="margin" w:yAlign="bottom"/>
      </w:pPr>
      <w:r>
        <w:t>Claimant's Signature</w:t>
      </w:r>
    </w:p>
    <w:p w:rsidR="00AC2E59" w:rsidRDefault="00AC2E59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AC2E59" w:rsidRDefault="00AC2E59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AC2E59" w:rsidRDefault="00AC2E59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C2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C2E59" w:rsidRDefault="00AC2E59">
            <w:pPr>
              <w:framePr w:hSpace="181" w:wrap="notBeside" w:hAnchor="margin" w:yAlign="bottom"/>
            </w:pPr>
          </w:p>
        </w:tc>
      </w:tr>
      <w:tr w:rsidR="00AC2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59" w:rsidRDefault="00AC2E59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3"/>
    </w:tbl>
    <w:p w:rsidR="00AC2E59" w:rsidRDefault="00AC2E59"/>
    <w:sectPr w:rsidR="00AC2E59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FB" w:rsidRDefault="00AB1DFB">
      <w:r>
        <w:separator/>
      </w:r>
    </w:p>
  </w:endnote>
  <w:endnote w:type="continuationSeparator" w:id="0">
    <w:p w:rsidR="00AB1DFB" w:rsidRDefault="00A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98DF68D9-D307-411E-953A-F5FB17BB6FA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9" w:rsidRDefault="00AC2E59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CSCB046CR9057 - 990616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FB" w:rsidRDefault="00AB1DFB">
      <w:r>
        <w:separator/>
      </w:r>
    </w:p>
  </w:footnote>
  <w:footnote w:type="continuationSeparator" w:id="0">
    <w:p w:rsidR="00AB1DFB" w:rsidRDefault="00AB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9" w:rsidRDefault="00AC2E59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9"/>
    <w:rsid w:val="0083636B"/>
    <w:rsid w:val="008F102F"/>
    <w:rsid w:val="00AB1DFB"/>
    <w:rsid w:val="00A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i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Coversheet1">
    <w:name w:val="Cover sheet 1"/>
    <w:basedOn w:val="Normal"/>
    <w:next w:val="Coversheet2"/>
    <w:pPr>
      <w:pageBreakBefore/>
      <w:spacing w:before="4440" w:after="480"/>
      <w:ind w:left="-1134" w:right="-851"/>
    </w:pPr>
    <w:rPr>
      <w:rFonts w:ascii="Book Antiqua" w:hAnsi="Book Antiqua"/>
      <w:b/>
      <w:i/>
      <w:sz w:val="72"/>
    </w:rPr>
  </w:style>
  <w:style w:type="paragraph" w:customStyle="1" w:styleId="Coversheet2">
    <w:name w:val="Cover sheet 2"/>
    <w:basedOn w:val="Normal"/>
    <w:pPr>
      <w:spacing w:before="480" w:after="120"/>
      <w:ind w:left="-1134" w:right="-851"/>
    </w:pPr>
    <w:rPr>
      <w:rFonts w:ascii="Book Antiqua" w:hAnsi="Book Antiqua"/>
      <w:b/>
      <w:i/>
      <w:sz w:val="40"/>
    </w:rPr>
  </w:style>
  <w:style w:type="paragraph" w:customStyle="1" w:styleId="AlternativeConclusion">
    <w:name w:val="Alternative Conclusion"/>
    <w:basedOn w:val="Normal"/>
    <w:next w:val="Normal"/>
    <w:pPr>
      <w:keepLines/>
      <w:spacing w:before="80" w:after="360"/>
      <w:ind w:left="1996" w:hanging="720"/>
    </w:pPr>
    <w:rPr>
      <w:sz w:val="20"/>
    </w:rPr>
  </w:style>
  <w:style w:type="paragraph" w:customStyle="1" w:styleId="Style1">
    <w:name w:val="Style1"/>
    <w:basedOn w:val="Normal"/>
    <w:pPr>
      <w:keepLines/>
      <w:spacing w:before="120" w:after="60"/>
    </w:pPr>
    <w:rPr>
      <w:sz w:val="12"/>
    </w:rPr>
  </w:style>
  <w:style w:type="paragraph" w:customStyle="1" w:styleId="Table">
    <w:name w:val="Table"/>
    <w:basedOn w:val="Normal"/>
    <w:pPr>
      <w:keepLines/>
      <w:spacing w:before="120" w:after="60"/>
    </w:pPr>
    <w:rPr>
      <w:sz w:val="16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i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Coversheet1">
    <w:name w:val="Cover sheet 1"/>
    <w:basedOn w:val="Normal"/>
    <w:next w:val="Coversheet2"/>
    <w:pPr>
      <w:pageBreakBefore/>
      <w:spacing w:before="4440" w:after="480"/>
      <w:ind w:left="-1134" w:right="-851"/>
    </w:pPr>
    <w:rPr>
      <w:rFonts w:ascii="Book Antiqua" w:hAnsi="Book Antiqua"/>
      <w:b/>
      <w:i/>
      <w:sz w:val="72"/>
    </w:rPr>
  </w:style>
  <w:style w:type="paragraph" w:customStyle="1" w:styleId="Coversheet2">
    <w:name w:val="Cover sheet 2"/>
    <w:basedOn w:val="Normal"/>
    <w:pPr>
      <w:spacing w:before="480" w:after="120"/>
      <w:ind w:left="-1134" w:right="-851"/>
    </w:pPr>
    <w:rPr>
      <w:rFonts w:ascii="Book Antiqua" w:hAnsi="Book Antiqua"/>
      <w:b/>
      <w:i/>
      <w:sz w:val="40"/>
    </w:rPr>
  </w:style>
  <w:style w:type="paragraph" w:customStyle="1" w:styleId="AlternativeConclusion">
    <w:name w:val="Alternative Conclusion"/>
    <w:basedOn w:val="Normal"/>
    <w:next w:val="Normal"/>
    <w:pPr>
      <w:keepLines/>
      <w:spacing w:before="80" w:after="360"/>
      <w:ind w:left="1996" w:hanging="720"/>
    </w:pPr>
    <w:rPr>
      <w:sz w:val="20"/>
    </w:rPr>
  </w:style>
  <w:style w:type="paragraph" w:customStyle="1" w:styleId="Style1">
    <w:name w:val="Style1"/>
    <w:basedOn w:val="Normal"/>
    <w:pPr>
      <w:keepLines/>
      <w:spacing w:before="120" w:after="60"/>
    </w:pPr>
    <w:rPr>
      <w:sz w:val="12"/>
    </w:rPr>
  </w:style>
  <w:style w:type="paragraph" w:customStyle="1" w:styleId="Table">
    <w:name w:val="Table"/>
    <w:basedOn w:val="Normal"/>
    <w:pPr>
      <w:keepLines/>
      <w:spacing w:before="120" w:after="60"/>
    </w:pPr>
    <w:rPr>
      <w:sz w:val="16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Subarachnoid Haemorrhage</vt:lpstr>
    </vt:vector>
  </TitlesOfParts>
  <Company>Softlaw Corporation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Subarachnoid Haemorrhage</dc:title>
  <dc:creator>Sven Bluemmel</dc:creator>
  <cp:lastModifiedBy>NDREVL</cp:lastModifiedBy>
  <cp:revision>2</cp:revision>
  <dcterms:created xsi:type="dcterms:W3CDTF">2015-06-18T02:07:00Z</dcterms:created>
  <dcterms:modified xsi:type="dcterms:W3CDTF">2015-06-18T02:07:00Z</dcterms:modified>
</cp:coreProperties>
</file>